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C66D1" w14:textId="77777777" w:rsidR="009E0811" w:rsidRPr="005E1D30" w:rsidRDefault="009E0811" w:rsidP="009E0811">
      <w:pPr>
        <w:pStyle w:val="Author"/>
        <w:spacing w:after="120"/>
        <w:rPr>
          <w:b/>
          <w:szCs w:val="24"/>
        </w:rPr>
      </w:pPr>
      <w:r w:rsidRPr="005E1D30">
        <w:rPr>
          <w:b/>
          <w:szCs w:val="24"/>
        </w:rPr>
        <w:t>In-situ Untersuchung des Vernetzungsvorgangs von Epoxidharzen zur Detektion von</w:t>
      </w:r>
    </w:p>
    <w:p w14:paraId="35815C88" w14:textId="77777777" w:rsidR="009E0811" w:rsidRPr="005E1D30" w:rsidRDefault="009E0811" w:rsidP="009E0811">
      <w:pPr>
        <w:pStyle w:val="Author"/>
        <w:spacing w:after="120"/>
        <w:rPr>
          <w:b/>
          <w:szCs w:val="24"/>
        </w:rPr>
      </w:pPr>
      <w:r w:rsidRPr="005E1D30">
        <w:rPr>
          <w:b/>
          <w:szCs w:val="24"/>
        </w:rPr>
        <w:t>Schwankungen in Verkapselungsprozessen elektronischer Bauteile</w:t>
      </w:r>
    </w:p>
    <w:p w14:paraId="3EC7A9F1" w14:textId="0C8B4E60" w:rsidR="00163126" w:rsidRPr="005E1D30" w:rsidRDefault="00CD1457" w:rsidP="009E0811">
      <w:pPr>
        <w:pStyle w:val="Author"/>
        <w:spacing w:after="120"/>
        <w:rPr>
          <w:sz w:val="18"/>
          <w:szCs w:val="18"/>
        </w:rPr>
      </w:pPr>
      <w:r w:rsidRPr="005E1D30">
        <w:rPr>
          <w:sz w:val="18"/>
          <w:szCs w:val="18"/>
        </w:rPr>
        <w:t>Corinna Niegisch</w:t>
      </w:r>
      <w:r w:rsidR="00163126" w:rsidRPr="005E1D30">
        <w:rPr>
          <w:sz w:val="18"/>
          <w:szCs w:val="18"/>
          <w:vertAlign w:val="superscript"/>
        </w:rPr>
        <w:t>1</w:t>
      </w:r>
      <w:r w:rsidR="00D13AF1">
        <w:rPr>
          <w:sz w:val="18"/>
          <w:szCs w:val="18"/>
          <w:vertAlign w:val="superscript"/>
        </w:rPr>
        <w:t>*</w:t>
      </w:r>
      <w:r w:rsidR="00163126" w:rsidRPr="005E1D30">
        <w:rPr>
          <w:sz w:val="18"/>
          <w:szCs w:val="18"/>
        </w:rPr>
        <w:t xml:space="preserve">, </w:t>
      </w:r>
      <w:r w:rsidRPr="005E1D30">
        <w:rPr>
          <w:sz w:val="18"/>
          <w:szCs w:val="18"/>
        </w:rPr>
        <w:t>Yasmina Kit</w:t>
      </w:r>
      <w:r w:rsidR="002005E9">
        <w:rPr>
          <w:sz w:val="18"/>
          <w:szCs w:val="18"/>
          <w:vertAlign w:val="superscript"/>
        </w:rPr>
        <w:t>1</w:t>
      </w:r>
    </w:p>
    <w:p w14:paraId="0CCF68E8" w14:textId="77777777" w:rsidR="00163126" w:rsidRPr="005E1D30" w:rsidRDefault="00163126" w:rsidP="00163126">
      <w:pPr>
        <w:pStyle w:val="Author"/>
        <w:spacing w:after="0"/>
        <w:rPr>
          <w:i/>
          <w:sz w:val="16"/>
          <w:szCs w:val="16"/>
        </w:rPr>
      </w:pPr>
      <w:r w:rsidRPr="005E1D30">
        <w:rPr>
          <w:i/>
          <w:sz w:val="16"/>
          <w:szCs w:val="16"/>
          <w:vertAlign w:val="superscript"/>
        </w:rPr>
        <w:t xml:space="preserve">1 </w:t>
      </w:r>
      <w:r w:rsidRPr="005E1D30">
        <w:rPr>
          <w:i/>
          <w:sz w:val="16"/>
          <w:szCs w:val="16"/>
        </w:rPr>
        <w:t xml:space="preserve">Robert Bosch GmbH, Zentralbereich Forschung und Vorausentwicklung, 71272 Renningen, </w:t>
      </w:r>
      <w:r w:rsidR="007E7381" w:rsidRPr="005E1D30">
        <w:rPr>
          <w:i/>
          <w:sz w:val="16"/>
          <w:szCs w:val="16"/>
        </w:rPr>
        <w:t>Deutschland</w:t>
      </w:r>
    </w:p>
    <w:p w14:paraId="4E64FF21" w14:textId="5797BFC3" w:rsidR="003B52D4" w:rsidRPr="00D13AF1" w:rsidRDefault="00D13AF1" w:rsidP="003B52D4">
      <w:pPr>
        <w:spacing w:line="0" w:lineRule="atLeast"/>
        <w:jc w:val="center"/>
        <w:rPr>
          <w:rFonts w:ascii="Times New Roman" w:hAnsi="Times New Roman" w:cs="Times New Roman"/>
          <w:bCs/>
          <w:i/>
          <w:iCs/>
          <w:sz w:val="16"/>
          <w:szCs w:val="16"/>
          <w:lang w:val="de-DE"/>
        </w:rPr>
      </w:pPr>
      <w:r w:rsidRPr="00D13AF1">
        <w:rPr>
          <w:rFonts w:ascii="Times New Roman" w:hAnsi="Times New Roman" w:cs="Times New Roman"/>
          <w:bCs/>
          <w:i/>
          <w:iCs/>
          <w:sz w:val="16"/>
          <w:szCs w:val="16"/>
          <w:lang w:val="de-DE"/>
        </w:rPr>
        <w:t>*Korrespondenz:</w:t>
      </w:r>
      <w:r>
        <w:rPr>
          <w:rFonts w:ascii="Times New Roman" w:hAnsi="Times New Roman" w:cs="Times New Roman"/>
          <w:bCs/>
          <w:i/>
          <w:iCs/>
          <w:sz w:val="16"/>
          <w:szCs w:val="16"/>
          <w:lang w:val="de-DE"/>
        </w:rPr>
        <w:t xml:space="preserve"> </w:t>
      </w:r>
      <w:hyperlink r:id="rId11" w:history="1">
        <w:r w:rsidRPr="00004008">
          <w:rPr>
            <w:rStyle w:val="Hyperlink"/>
            <w:rFonts w:ascii="Times New Roman" w:hAnsi="Times New Roman" w:cs="Times New Roman"/>
            <w:bCs/>
            <w:i/>
            <w:iCs/>
            <w:sz w:val="16"/>
            <w:szCs w:val="16"/>
            <w:lang w:val="de-DE"/>
          </w:rPr>
          <w:t>Corinna.Niegisch@de.bosch.com</w:t>
        </w:r>
      </w:hyperlink>
      <w:r>
        <w:rPr>
          <w:rFonts w:ascii="Times New Roman" w:hAnsi="Times New Roman" w:cs="Times New Roman"/>
          <w:bCs/>
          <w:i/>
          <w:iCs/>
          <w:sz w:val="16"/>
          <w:szCs w:val="16"/>
          <w:lang w:val="de-DE"/>
        </w:rPr>
        <w:t xml:space="preserve">; Tel.: +49 711 81192691 </w:t>
      </w:r>
    </w:p>
    <w:p w14:paraId="139C7B6B" w14:textId="77777777" w:rsidR="00F73C36" w:rsidRPr="005E1D30" w:rsidRDefault="004D62B1" w:rsidP="003B52D4">
      <w:pPr>
        <w:spacing w:line="0" w:lineRule="atLeast"/>
        <w:jc w:val="center"/>
        <w:rPr>
          <w:rFonts w:ascii="Times New Roman" w:hAnsi="Times New Roman" w:cs="Times New Roman"/>
          <w:b/>
          <w:sz w:val="20"/>
          <w:szCs w:val="20"/>
          <w:lang w:val="de-DE"/>
        </w:rPr>
      </w:pPr>
      <w:r w:rsidRPr="005E1D30">
        <w:rPr>
          <w:rFonts w:ascii="Times New Roman" w:hAnsi="Times New Roman" w:cs="Times New Roman"/>
          <w:b/>
          <w:sz w:val="20"/>
          <w:szCs w:val="20"/>
          <w:lang w:val="de-DE"/>
        </w:rPr>
        <w:t>Kurzfassung</w:t>
      </w:r>
    </w:p>
    <w:p w14:paraId="415DA886" w14:textId="337A9362" w:rsidR="008C08FD" w:rsidRPr="005E1D30" w:rsidRDefault="008C08FD" w:rsidP="008C08FD">
      <w:pPr>
        <w:spacing w:line="0" w:lineRule="atLeast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</w:pPr>
      <w:bookmarkStart w:id="0" w:name="_Hlk158370425"/>
      <w:r w:rsidRPr="005E1D30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 xml:space="preserve">Für die Verkapselung von elektronischen Bauteilen in der elektronischen Aufbau- und Verbindungstechnik werden häufig Epoxidharze als Verkapselungsmaterialien verwendet. Der chemische Vernetzungsprozess und </w:t>
      </w:r>
      <w:r w:rsidR="002005E9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>die damit verbundene</w:t>
      </w:r>
      <w:r w:rsidRPr="005E1D30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 xml:space="preserve"> Aushärtung dieser Harze während der Verarbeitung haben einen erheblichen Einfluss auf die Produktion und letztlich auf die Qualität der Bauteile. </w:t>
      </w:r>
      <w:r w:rsidR="002F453F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>Es</w:t>
      </w:r>
      <w:r w:rsidRPr="005E1D30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 xml:space="preserve"> wurde ein Fourier-Transform</w:t>
      </w:r>
      <w:r w:rsidR="002E13FE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>ations</w:t>
      </w:r>
      <w:r w:rsidRPr="005E1D30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>-Infrarot</w:t>
      </w:r>
      <w:r w:rsidR="002E13FE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>s</w:t>
      </w:r>
      <w:r w:rsidRPr="005E1D30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 xml:space="preserve">ensor (FT-IR) in </w:t>
      </w:r>
      <w:r w:rsidR="00FA6D88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>das Werkzeug einer</w:t>
      </w:r>
      <w:r w:rsidRPr="005E1D30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 xml:space="preserve"> Moldingpresse integriert, um in-situ Infrarotspektren</w:t>
      </w:r>
      <w:r w:rsidR="002F453F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 xml:space="preserve"> und damit chemische Veränderungen</w:t>
      </w:r>
      <w:r w:rsidRPr="005E1D30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 xml:space="preserve"> während des Prozesses zu messen. Es wird eine Auswertemethode der Infrarotspektren vorgestellt, </w:t>
      </w:r>
      <w:r w:rsidR="002005E9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 xml:space="preserve">für die der zeitliche Fortschritt der Vernetzung anhand der Berechnung von Integralen relevanter Wellenzahlbereiche pro Zeitschritt und einer anschließenden Normierung der </w:t>
      </w:r>
      <w:r w:rsidR="00FA6D88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>Integralk</w:t>
      </w:r>
      <w:r w:rsidR="002005E9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 xml:space="preserve">urve ermittelt wird. </w:t>
      </w:r>
      <w:r w:rsidRPr="005E1D30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>Ein Vergleich mit der konventionellen dielektrischen Analyse</w:t>
      </w:r>
      <w:r w:rsidR="00BC5BCF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 xml:space="preserve"> (DEA)</w:t>
      </w:r>
      <w:r w:rsidRPr="005E1D30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 xml:space="preserve"> zeigt einen ähnlichen Kurvenverlauf, wobei mit dem FT-IR-Sensor vor allem für hohe Vernetzungsgrade Änderungen gemessen werden können, die mit der </w:t>
      </w:r>
      <w:r w:rsidR="00BC5BCF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>DEA</w:t>
      </w:r>
      <w:r w:rsidRPr="005E1D30">
        <w:rPr>
          <w:rFonts w:ascii="Times New Roman" w:hAnsi="Times New Roman" w:cs="Times New Roman"/>
          <w:color w:val="000000" w:themeColor="text1"/>
          <w:sz w:val="20"/>
          <w:szCs w:val="20"/>
          <w:lang w:val="de-DE"/>
        </w:rPr>
        <w:t xml:space="preserve"> nicht sichtbar sind. </w:t>
      </w:r>
    </w:p>
    <w:p w14:paraId="6BDB92F5" w14:textId="78F885F8" w:rsidR="004D62B1" w:rsidRPr="005E1D30" w:rsidRDefault="004D62B1" w:rsidP="003B52D4">
      <w:pPr>
        <w:pStyle w:val="Listenabsatz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de-DE"/>
        </w:rPr>
      </w:pPr>
      <w:r w:rsidRPr="005E1D30">
        <w:rPr>
          <w:rFonts w:ascii="Times New Roman" w:hAnsi="Times New Roman" w:cs="Times New Roman"/>
          <w:b/>
          <w:color w:val="000000" w:themeColor="text1"/>
          <w:sz w:val="20"/>
          <w:szCs w:val="20"/>
          <w:lang w:val="de-DE"/>
        </w:rPr>
        <w:t>Einleitung</w:t>
      </w:r>
    </w:p>
    <w:p w14:paraId="3AD9784C" w14:textId="369DD6D2" w:rsidR="008F2446" w:rsidRDefault="00221850" w:rsidP="003B52D4">
      <w:pPr>
        <w:spacing w:line="0" w:lineRule="atLeast"/>
        <w:jc w:val="both"/>
        <w:rPr>
          <w:rFonts w:ascii="Times New Roman" w:hAnsi="Times New Roman" w:cs="Times New Roman"/>
          <w:bCs/>
          <w:sz w:val="20"/>
          <w:szCs w:val="20"/>
          <w:lang w:val="de-DE"/>
        </w:rPr>
      </w:pP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In der gegenwärtigen Elektronikbauteilindustrie erweist sich der Verkapselungsprozess von elektronischen Bauteilen häufig als unerlässlicher Schritt, der die Bauteile vor externen Einflüssen schützt, </w:t>
      </w:r>
      <w:r w:rsidR="002E13FE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elektrische Kontakte isoliert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und die Form des Gehäuses de</w:t>
      </w:r>
      <w:r w:rsidR="00FA53BC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finiert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</w:t>
      </w:r>
      <w:r w:rsidR="00DA551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begin"/>
      </w:r>
      <w:r w:rsidR="00DA551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instrText xml:space="preserve"> REF _Ref158275479 \r \h </w:instrText>
      </w:r>
      <w:r w:rsidR="00DA551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</w:r>
      <w:r w:rsidR="00DA551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separate"/>
      </w:r>
      <w:r w:rsidR="00E2335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[1]</w:t>
      </w:r>
      <w:r w:rsidR="00DA551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end"/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. Dieser Prozess wird mittels eines Formgebungsverfahrens durchgeführt, wobei die vorherrschenden Methoden </w:t>
      </w:r>
      <w:r w:rsidR="002E13FE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das 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Transfer</w:t>
      </w:r>
      <w:r w:rsidR="00D5291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pressen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und </w:t>
      </w:r>
      <w:r w:rsidR="002E13FE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das 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Kompressions</w:t>
      </w:r>
      <w:r w:rsidR="002E13FE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pressen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sind und üblicherweise Epoxidharz-Formmassen</w:t>
      </w:r>
      <w:r w:rsidR="00C150BE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, sogenannte </w:t>
      </w:r>
      <w:proofErr w:type="spellStart"/>
      <w:r w:rsidR="00C150BE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Epoxy</w:t>
      </w:r>
      <w:proofErr w:type="spellEnd"/>
      <w:r w:rsidR="00C150BE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</w:t>
      </w:r>
      <w:proofErr w:type="spellStart"/>
      <w:r w:rsidR="00C150BE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Molding</w:t>
      </w:r>
      <w:proofErr w:type="spellEnd"/>
      <w:r w:rsidR="00C150BE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Compounds (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EMC</w:t>
      </w:r>
      <w:r w:rsidR="00C150BE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), 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als Material Verwendung finden </w:t>
      </w:r>
      <w:r w:rsidR="00264E55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begin"/>
      </w:r>
      <w:r w:rsidR="00264E55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instrText xml:space="preserve"> REF _Ref157160628 \r \h </w:instrText>
      </w:r>
      <w:r w:rsid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instrText xml:space="preserve"> \* MERGEFORMAT </w:instrText>
      </w:r>
      <w:r w:rsidR="00264E55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</w:r>
      <w:r w:rsidR="00264E55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separate"/>
      </w:r>
      <w:r w:rsidR="00E2335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[2]</w:t>
      </w:r>
      <w:r w:rsidR="00264E55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end"/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. Herausfordernd gestaltet sich der Verkapselungsprozess aufgrund von Schwankungen in den Produktionschargen</w:t>
      </w:r>
      <w:r w:rsidR="00C150BE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beziehungsweise 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Veränderungen der Materialeigenschaften und der damit einhergehenden Anpassung spezifischer Prozessparameter</w:t>
      </w:r>
      <w:r w:rsidR="001257D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</w: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begin"/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instrText xml:space="preserve"> REF _Ref157160635 \r \h </w:instrTex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separate"/>
      </w:r>
      <w:r w:rsidR="00E2335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[3]</w: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end"/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. Diese Faktoren haben </w:t>
      </w:r>
      <w:r w:rsidR="00C150BE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sowohl einen 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signifikanten Einfluss auf die Verarbeitung </w:t>
      </w:r>
      <w:r w:rsidR="00C150BE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als auch auf</w:t>
      </w:r>
      <w:r w:rsidR="00D9205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die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Qualität des Endprodukts </w:t>
      </w:r>
      <w:r w:rsidR="00264E55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begin"/>
      </w:r>
      <w:r w:rsidR="00264E55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instrText xml:space="preserve"> REF _Ref157160635 \r \h </w:instrText>
      </w:r>
      <w:r w:rsid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instrText xml:space="preserve"> \* MERGEFORMAT </w:instrText>
      </w:r>
      <w:r w:rsidR="00264E55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</w:r>
      <w:r w:rsidR="00264E55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separate"/>
      </w:r>
      <w:r w:rsidR="00E2335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[3]</w:t>
      </w:r>
      <w:r w:rsidR="00264E55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end"/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.</w:t>
      </w:r>
      <w:r w:rsidR="00C150BE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</w:t>
      </w:r>
      <w:r w:rsidR="000522AF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Die Auswahl der Prozessparameter erfolgt vorrangig auf Grundlage empirischer Daten, da das Verständnis des </w:t>
      </w:r>
      <w:r w:rsidR="002E13FE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Prozesses</w:t>
      </w:r>
      <w:r w:rsidR="000522AF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begrenzt ist. Durch die </w:t>
      </w:r>
      <w:r w:rsidR="000522AF" w:rsidRPr="005B62F5">
        <w:rPr>
          <w:rFonts w:ascii="Times New Roman" w:hAnsi="Times New Roman" w:cs="Times New Roman"/>
          <w:bCs/>
          <w:sz w:val="20"/>
          <w:szCs w:val="20"/>
          <w:lang w:val="de-DE"/>
        </w:rPr>
        <w:t xml:space="preserve">Anwendung unterschiedlicher Messmethoden wird der Vernetzungsprozess </w:t>
      </w:r>
      <w:r w:rsidR="005F1EF7" w:rsidRPr="005B62F5">
        <w:rPr>
          <w:rFonts w:ascii="Times New Roman" w:hAnsi="Times New Roman" w:cs="Times New Roman"/>
          <w:bCs/>
          <w:sz w:val="20"/>
          <w:szCs w:val="20"/>
          <w:lang w:val="de-DE"/>
        </w:rPr>
        <w:t xml:space="preserve">des EMC </w:t>
      </w:r>
      <w:r w:rsidR="000522AF" w:rsidRPr="005B62F5">
        <w:rPr>
          <w:rFonts w:ascii="Times New Roman" w:hAnsi="Times New Roman" w:cs="Times New Roman"/>
          <w:bCs/>
          <w:sz w:val="20"/>
          <w:szCs w:val="20"/>
          <w:lang w:val="de-DE"/>
        </w:rPr>
        <w:t xml:space="preserve">systematisch erfasst, wodurch eine Vertiefung des Prozessverständnisses </w:t>
      </w:r>
      <w:proofErr w:type="gramStart"/>
      <w:r w:rsidR="000522AF" w:rsidRPr="005B62F5">
        <w:rPr>
          <w:rFonts w:ascii="Times New Roman" w:hAnsi="Times New Roman" w:cs="Times New Roman"/>
          <w:bCs/>
          <w:sz w:val="20"/>
          <w:szCs w:val="20"/>
          <w:lang w:val="de-DE"/>
        </w:rPr>
        <w:t>ermöglicht</w:t>
      </w:r>
      <w:proofErr w:type="gramEnd"/>
      <w:r w:rsidR="000522AF" w:rsidRPr="005B62F5">
        <w:rPr>
          <w:rFonts w:ascii="Times New Roman" w:hAnsi="Times New Roman" w:cs="Times New Roman"/>
          <w:bCs/>
          <w:sz w:val="20"/>
          <w:szCs w:val="20"/>
          <w:lang w:val="de-DE"/>
        </w:rPr>
        <w:t xml:space="preserve"> wird</w:t>
      </w:r>
      <w:r w:rsidR="00D52910">
        <w:rPr>
          <w:rFonts w:ascii="Times New Roman" w:hAnsi="Times New Roman" w:cs="Times New Roman"/>
          <w:bCs/>
          <w:sz w:val="20"/>
          <w:szCs w:val="20"/>
          <w:lang w:val="de-DE"/>
        </w:rPr>
        <w:t xml:space="preserve"> </w:t>
      </w:r>
      <w:r w:rsidR="00D52910">
        <w:rPr>
          <w:rFonts w:ascii="Times New Roman" w:hAnsi="Times New Roman" w:cs="Times New Roman"/>
          <w:bCs/>
          <w:sz w:val="20"/>
          <w:szCs w:val="20"/>
          <w:lang w:val="de-DE"/>
        </w:rPr>
        <w:fldChar w:fldCharType="begin"/>
      </w:r>
      <w:r w:rsidR="00D52910">
        <w:rPr>
          <w:rFonts w:ascii="Times New Roman" w:hAnsi="Times New Roman" w:cs="Times New Roman"/>
          <w:bCs/>
          <w:sz w:val="20"/>
          <w:szCs w:val="20"/>
          <w:lang w:val="de-DE"/>
        </w:rPr>
        <w:instrText xml:space="preserve"> REF _Ref158207637 \r \h </w:instrText>
      </w:r>
      <w:r w:rsidR="00D52910">
        <w:rPr>
          <w:rFonts w:ascii="Times New Roman" w:hAnsi="Times New Roman" w:cs="Times New Roman"/>
          <w:bCs/>
          <w:sz w:val="20"/>
          <w:szCs w:val="20"/>
          <w:lang w:val="de-DE"/>
        </w:rPr>
      </w:r>
      <w:r w:rsidR="00D52910">
        <w:rPr>
          <w:rFonts w:ascii="Times New Roman" w:hAnsi="Times New Roman" w:cs="Times New Roman"/>
          <w:bCs/>
          <w:sz w:val="20"/>
          <w:szCs w:val="20"/>
          <w:lang w:val="de-DE"/>
        </w:rPr>
        <w:fldChar w:fldCharType="separate"/>
      </w:r>
      <w:r w:rsidR="00E23353">
        <w:rPr>
          <w:rFonts w:ascii="Times New Roman" w:hAnsi="Times New Roman" w:cs="Times New Roman"/>
          <w:bCs/>
          <w:sz w:val="20"/>
          <w:szCs w:val="20"/>
          <w:lang w:val="de-DE"/>
        </w:rPr>
        <w:t>[4]</w:t>
      </w:r>
      <w:r w:rsidR="00D52910">
        <w:rPr>
          <w:rFonts w:ascii="Times New Roman" w:hAnsi="Times New Roman" w:cs="Times New Roman"/>
          <w:bCs/>
          <w:sz w:val="20"/>
          <w:szCs w:val="20"/>
          <w:lang w:val="de-DE"/>
        </w:rPr>
        <w:fldChar w:fldCharType="end"/>
      </w:r>
      <w:r w:rsidR="000522AF" w:rsidRPr="005B62F5">
        <w:rPr>
          <w:rFonts w:ascii="Times New Roman" w:hAnsi="Times New Roman" w:cs="Times New Roman"/>
          <w:bCs/>
          <w:sz w:val="20"/>
          <w:szCs w:val="20"/>
          <w:lang w:val="de-DE"/>
        </w:rPr>
        <w:t>.</w:t>
      </w:r>
      <w:r w:rsidR="00FA53BC" w:rsidRPr="005B62F5">
        <w:rPr>
          <w:rFonts w:ascii="Times New Roman" w:hAnsi="Times New Roman" w:cs="Times New Roman"/>
          <w:bCs/>
          <w:sz w:val="20"/>
          <w:szCs w:val="20"/>
          <w:lang w:val="de-DE"/>
        </w:rPr>
        <w:t xml:space="preserve"> </w:t>
      </w:r>
    </w:p>
    <w:p w14:paraId="53F009DE" w14:textId="5BD3FAE9" w:rsidR="008F2446" w:rsidRPr="008F2446" w:rsidRDefault="008F2446" w:rsidP="003B52D4">
      <w:pPr>
        <w:pStyle w:val="Listenabsatz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de-DE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de-DE"/>
        </w:rPr>
        <w:t>Grundlagen</w:t>
      </w:r>
    </w:p>
    <w:p w14:paraId="2B491074" w14:textId="54C270B4" w:rsidR="00DF3082" w:rsidRPr="005E1D30" w:rsidRDefault="008F2446" w:rsidP="003B52D4">
      <w:pPr>
        <w:spacing w:line="0" w:lineRule="atLeast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</w:pPr>
      <w:r>
        <w:rPr>
          <w:rFonts w:ascii="Times New Roman" w:hAnsi="Times New Roman" w:cs="Times New Roman"/>
          <w:bCs/>
          <w:sz w:val="20"/>
          <w:szCs w:val="20"/>
          <w:lang w:val="de-DE"/>
        </w:rPr>
        <w:t xml:space="preserve">Um den chemischen Vernetzungszustand des EMC zu bestimmen, </w:t>
      </w:r>
      <w:r w:rsidR="00DF3082" w:rsidRPr="005B62F5">
        <w:rPr>
          <w:rFonts w:ascii="Times New Roman" w:hAnsi="Times New Roman" w:cs="Times New Roman"/>
          <w:bCs/>
          <w:sz w:val="20"/>
          <w:szCs w:val="20"/>
          <w:lang w:val="de-DE"/>
        </w:rPr>
        <w:t xml:space="preserve">findet </w:t>
      </w:r>
      <w:r>
        <w:rPr>
          <w:rFonts w:ascii="Times New Roman" w:hAnsi="Times New Roman" w:cs="Times New Roman"/>
          <w:bCs/>
          <w:sz w:val="20"/>
          <w:szCs w:val="20"/>
          <w:lang w:val="de-DE"/>
        </w:rPr>
        <w:t>ü</w:t>
      </w:r>
      <w:r w:rsidRPr="005B62F5">
        <w:rPr>
          <w:rFonts w:ascii="Times New Roman" w:hAnsi="Times New Roman" w:cs="Times New Roman"/>
          <w:bCs/>
          <w:sz w:val="20"/>
          <w:szCs w:val="20"/>
          <w:lang w:val="de-DE"/>
        </w:rPr>
        <w:t xml:space="preserve">blicherweise </w:t>
      </w:r>
      <w:r w:rsidR="00DF3082" w:rsidRPr="005B62F5">
        <w:rPr>
          <w:rFonts w:ascii="Times New Roman" w:hAnsi="Times New Roman" w:cs="Times New Roman"/>
          <w:bCs/>
          <w:sz w:val="20"/>
          <w:szCs w:val="20"/>
          <w:lang w:val="de-DE"/>
        </w:rPr>
        <w:t>die dynamische Differenzkalorimetrie ihre Anwendung, bei der der Wärmestrom, der beim Erhitzen des Materials freigesetzt wird, gemessen und mit dem Vernetzungsgrad in Korrelation gesetzt wird</w:t>
      </w:r>
      <w:r w:rsidR="00554B62">
        <w:rPr>
          <w:rFonts w:ascii="Times New Roman" w:hAnsi="Times New Roman" w:cs="Times New Roman"/>
          <w:bCs/>
          <w:sz w:val="20"/>
          <w:szCs w:val="20"/>
          <w:lang w:val="de-DE"/>
        </w:rPr>
        <w:t xml:space="preserve"> </w:t>
      </w:r>
      <w:r w:rsidR="00554B62">
        <w:rPr>
          <w:rFonts w:ascii="Times New Roman" w:hAnsi="Times New Roman" w:cs="Times New Roman"/>
          <w:bCs/>
          <w:sz w:val="20"/>
          <w:szCs w:val="20"/>
          <w:lang w:val="de-DE"/>
        </w:rPr>
        <w:fldChar w:fldCharType="begin"/>
      </w:r>
      <w:r w:rsidR="00554B62">
        <w:rPr>
          <w:rFonts w:ascii="Times New Roman" w:hAnsi="Times New Roman" w:cs="Times New Roman"/>
          <w:bCs/>
          <w:sz w:val="20"/>
          <w:szCs w:val="20"/>
          <w:lang w:val="de-DE"/>
        </w:rPr>
        <w:instrText xml:space="preserve"> REF _Ref158208172 \r \h </w:instrText>
      </w:r>
      <w:r w:rsidR="00554B62">
        <w:rPr>
          <w:rFonts w:ascii="Times New Roman" w:hAnsi="Times New Roman" w:cs="Times New Roman"/>
          <w:bCs/>
          <w:sz w:val="20"/>
          <w:szCs w:val="20"/>
          <w:lang w:val="de-DE"/>
        </w:rPr>
      </w:r>
      <w:r w:rsidR="00554B62">
        <w:rPr>
          <w:rFonts w:ascii="Times New Roman" w:hAnsi="Times New Roman" w:cs="Times New Roman"/>
          <w:bCs/>
          <w:sz w:val="20"/>
          <w:szCs w:val="20"/>
          <w:lang w:val="de-DE"/>
        </w:rPr>
        <w:fldChar w:fldCharType="separate"/>
      </w:r>
      <w:r w:rsidR="00E23353">
        <w:rPr>
          <w:rFonts w:ascii="Times New Roman" w:hAnsi="Times New Roman" w:cs="Times New Roman"/>
          <w:bCs/>
          <w:sz w:val="20"/>
          <w:szCs w:val="20"/>
          <w:lang w:val="de-DE"/>
        </w:rPr>
        <w:t>[5]</w:t>
      </w:r>
      <w:r w:rsidR="00554B62">
        <w:rPr>
          <w:rFonts w:ascii="Times New Roman" w:hAnsi="Times New Roman" w:cs="Times New Roman"/>
          <w:bCs/>
          <w:sz w:val="20"/>
          <w:szCs w:val="20"/>
          <w:lang w:val="de-DE"/>
        </w:rPr>
        <w:fldChar w:fldCharType="end"/>
      </w:r>
      <w:r w:rsidR="00DF3082" w:rsidRPr="005B62F5">
        <w:rPr>
          <w:rFonts w:ascii="Times New Roman" w:hAnsi="Times New Roman" w:cs="Times New Roman"/>
          <w:bCs/>
          <w:sz w:val="20"/>
          <w:szCs w:val="20"/>
          <w:lang w:val="de-DE"/>
        </w:rPr>
        <w:t xml:space="preserve">. </w:t>
      </w:r>
      <w:r w:rsidR="00DF3082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Um die zeitliche Entwicklung der chemischen Vernetzung</w:t>
      </w:r>
      <w:r w:rsidR="00B95DC1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während des laufenden Prozesses</w:t>
      </w:r>
      <w:r w:rsidR="00DF3082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zu detektieren</w:t>
      </w:r>
      <w:r w:rsidR="002005E9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,</w:t>
      </w:r>
      <w:r w:rsidR="00DF3082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hat sich in den letzten Jahren vor allem die DEA etab</w:t>
      </w:r>
      <w:r w:rsidR="00DF308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liert</w:t>
      </w:r>
      <w:r w:rsidR="00554B6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</w:t>
      </w:r>
      <w:r w:rsidR="00554B6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begin"/>
      </w:r>
      <w:r w:rsidR="00554B6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instrText xml:space="preserve"> REF _Ref158208832 \r \h </w:instrText>
      </w:r>
      <w:r w:rsid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instrText xml:space="preserve"> \* MERGEFORMAT </w:instrText>
      </w:r>
      <w:r w:rsidR="00554B6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</w:r>
      <w:r w:rsidR="00554B6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separate"/>
      </w:r>
      <w:r w:rsidR="00E2335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[6]</w:t>
      </w:r>
      <w:r w:rsidR="00554B6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end"/>
      </w:r>
      <w:r w:rsidR="00DF308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. Dabei wird eine sinusförmige Spannung angelegt und das An</w:t>
      </w:r>
      <w:r w:rsidR="002E13FE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t</w:t>
      </w:r>
      <w:r w:rsidR="00DF308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wortsignal gemessen</w:t>
      </w:r>
      <w:r w:rsidR="00B95DC1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wodurch </w:t>
      </w:r>
      <w:proofErr w:type="spellStart"/>
      <w:r w:rsidR="00DF308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Ionenbeweglichkeiten</w:t>
      </w:r>
      <w:proofErr w:type="spellEnd"/>
      <w:r w:rsidR="00DF308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erfasst</w:t>
      </w:r>
      <w:r w:rsidR="00B95DC1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werden</w:t>
      </w:r>
      <w:r w:rsidR="00DF308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, die gegenläufig zur Ionenviskosität verlaufen und mit dem Vernetzungsgrad des EMC korrelieren</w:t>
      </w:r>
      <w:r w:rsidR="00554B6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</w:t>
      </w:r>
      <w:r w:rsidR="00554B6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begin"/>
      </w:r>
      <w:r w:rsidR="00554B6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instrText xml:space="preserve"> REF _Ref158208840 \r \h </w:instrText>
      </w:r>
      <w:r w:rsidR="00EB4CF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instrText xml:space="preserve"> \* MERGEFORMAT </w:instrText>
      </w:r>
      <w:r w:rsidR="00554B6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</w:r>
      <w:r w:rsidR="00554B6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separate"/>
      </w:r>
      <w:r w:rsidR="00E2335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[7]</w:t>
      </w:r>
      <w:r w:rsidR="00554B6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end"/>
      </w:r>
      <w:r w:rsidR="00DF3082" w:rsidRPr="004C466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. </w:t>
      </w:r>
    </w:p>
    <w:p w14:paraId="53D5A8AD" w14:textId="7304D016" w:rsidR="00DF3082" w:rsidRPr="005E1D30" w:rsidRDefault="00DF3082" w:rsidP="007261DB">
      <w:pPr>
        <w:spacing w:line="0" w:lineRule="atLeast"/>
        <w:jc w:val="both"/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</w:pP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Eine weitere in</w:t>
      </w:r>
      <w:r w:rsidR="00A1001B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-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situ </w:t>
      </w:r>
      <w:r w:rsidR="00A1001B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M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essm</w:t>
      </w:r>
      <w:r w:rsidR="00A1001B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ethode ist die Fourier-Transformations-Infrarotspektroskopie (FT-IR). Bei diesem Verfahren wird Licht 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in einem Wellenzahlenbereich zwischen 600 cm⁻¹ und 1900 cm⁻¹ </w:t>
      </w:r>
      <w:r w:rsidR="00B95DC1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(</w:t>
      </w:r>
      <w:r w:rsidR="00B95DC1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Mittelinfrarotspektroskopie</w:t>
      </w:r>
      <w:r w:rsidR="00B95DC1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) 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genutzt </w: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begin"/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instrText xml:space="preserve"> REF _Ref157167566 \r \h </w:instrTex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separate"/>
      </w:r>
      <w:r w:rsidR="00E2335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[8]</w: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end"/>
      </w:r>
      <w:r w:rsidRPr="001257D3">
        <w:rPr>
          <w:rFonts w:ascii="Times New Roman" w:hAnsi="Times New Roman" w:cs="Times New Roman"/>
          <w:bCs/>
          <w:sz w:val="20"/>
          <w:szCs w:val="20"/>
          <w:lang w:val="de-DE"/>
        </w:rPr>
        <w:t xml:space="preserve">. </w:t>
      </w:r>
      <w:r w:rsidR="00D5291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Als</w:t>
      </w:r>
      <w:r w:rsidR="002E13FE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Lichtquelle </w:t>
      </w:r>
      <w:r w:rsidR="00D5291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dient</w:t>
      </w:r>
      <w:r w:rsidR="002E13FE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ein Spektrometer</w:t>
      </w:r>
      <w:r w:rsidR="00FA6D8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, dessen Licht mithilfe optischer Fasern im </w:t>
      </w:r>
      <w:r w:rsidR="00A1001B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laufenden Prozess </w:t>
      </w:r>
      <w:r w:rsidR="002E13FE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zum Material </w:t>
      </w:r>
      <w:r w:rsidR="00A1001B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geleitet</w:t>
      </w:r>
      <w:r w:rsidR="00FA6D88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wird</w:t>
      </w:r>
      <w:r w:rsidR="00A1001B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, wo es </w:t>
      </w:r>
      <w:r w:rsidR="002F453F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teils</w:t>
      </w:r>
      <w:r w:rsidR="00A1001B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absorbiert </w:t>
      </w:r>
      <w:r w:rsidR="002F453F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und teils</w:t>
      </w:r>
      <w:r w:rsidR="00A1001B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reflektiert </w:t>
      </w:r>
      <w:r w:rsidR="00B95DC1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und zum Spektrometer zurückgeleitet </w:t>
      </w:r>
      <w:r w:rsidR="00A1001B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wird. </w:t>
      </w:r>
      <w:r w:rsidR="00B95DC1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Aus dem reflektierten Licht</w:t>
      </w:r>
      <w:r w:rsidR="0072115A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werden Spektren erzeugt, die 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charakteristisch für die jeweilige Materialzusammensetzung und den aktuellen chemischen Vernetzungszustand sind</w: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</w: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begin"/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instrText xml:space="preserve"> REF _Ref158209110 \r \h </w:instrTex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separate"/>
      </w:r>
      <w:r w:rsidR="00E2335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[9]</w: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end"/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. So kann die </w:t>
      </w:r>
      <w:r w:rsidR="00A1001B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Vernetzungsreaktion durch Veränderungen der chemischen Bindungen der Moleküle erfass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t werden</w: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</w: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begin"/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instrText xml:space="preserve"> REF _Ref158209410 \r \h </w:instrTex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separate"/>
      </w:r>
      <w:r w:rsidR="00E2335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[10]</w: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end"/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begin"/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instrText xml:space="preserve"> REF _Ref158209413 \r \h </w:instrTex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separate"/>
      </w:r>
      <w:r w:rsidR="00E23353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[11]</w:t>
      </w:r>
      <w:r w:rsidR="00554B62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fldChar w:fldCharType="end"/>
      </w:r>
      <w:r w:rsidR="00A1001B"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>.</w:t>
      </w:r>
      <w:r w:rsidRPr="005E1D30">
        <w:rPr>
          <w:rFonts w:ascii="Times New Roman" w:hAnsi="Times New Roman" w:cs="Times New Roman"/>
          <w:bCs/>
          <w:color w:val="000000" w:themeColor="text1"/>
          <w:sz w:val="20"/>
          <w:szCs w:val="20"/>
          <w:lang w:val="de-DE"/>
        </w:rPr>
        <w:t xml:space="preserve"> </w:t>
      </w:r>
    </w:p>
    <w:bookmarkEnd w:id="0"/>
    <w:p w14:paraId="11B24BB7" w14:textId="645B6D5E" w:rsidR="004D62B1" w:rsidRPr="00D52910" w:rsidRDefault="007261DB" w:rsidP="00D52910">
      <w:pPr>
        <w:pStyle w:val="Listenabsatz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de-DE"/>
        </w:rPr>
      </w:pPr>
      <w:r w:rsidRPr="00D52910">
        <w:rPr>
          <w:rFonts w:ascii="Times New Roman" w:hAnsi="Times New Roman" w:cs="Times New Roman"/>
          <w:b/>
          <w:color w:val="000000" w:themeColor="text1"/>
          <w:sz w:val="20"/>
          <w:szCs w:val="20"/>
          <w:lang w:val="de-DE"/>
        </w:rPr>
        <w:t>Materialien und Methodik</w:t>
      </w:r>
    </w:p>
    <w:p w14:paraId="29EB519C" w14:textId="3926B81F" w:rsidR="002B0746" w:rsidRDefault="002B0746" w:rsidP="002B0746">
      <w:pPr>
        <w:pStyle w:val="Textkrper"/>
        <w:spacing w:line="0" w:lineRule="atLeast"/>
      </w:pPr>
      <w:r w:rsidRPr="005E1D30">
        <w:t xml:space="preserve">In dieser </w:t>
      </w:r>
      <w:r w:rsidR="006D6672">
        <w:t>Studie</w:t>
      </w:r>
      <w:r w:rsidRPr="005E1D30">
        <w:t xml:space="preserve"> wird ein </w:t>
      </w:r>
      <w:r>
        <w:t xml:space="preserve">einlagiges </w:t>
      </w:r>
      <w:r w:rsidRPr="005E1D30">
        <w:t>Substrat</w:t>
      </w:r>
      <w:r>
        <w:t>m</w:t>
      </w:r>
      <w:r w:rsidRPr="005E1D30">
        <w:t>aterial mit einer Dicke von 200 μm</w:t>
      </w:r>
      <w:r>
        <w:t xml:space="preserve"> und</w:t>
      </w:r>
      <w:r w:rsidRPr="005E1D30">
        <w:t xml:space="preserve"> eine hochgefüllte</w:t>
      </w:r>
      <w:r w:rsidR="00EF6A1F">
        <w:t>, vorgepresste</w:t>
      </w:r>
      <w:r w:rsidRPr="005E1D30">
        <w:t xml:space="preserve"> </w:t>
      </w:r>
      <w:r>
        <w:t>EMC-Formmasse</w:t>
      </w:r>
      <w:r w:rsidRPr="005E1D30">
        <w:t xml:space="preserve"> mit einem Füllstoffgehalt von etwa 90 %, </w:t>
      </w:r>
      <w:r>
        <w:t>verwendet</w:t>
      </w:r>
      <w:r w:rsidRPr="005E1D30">
        <w:t>. Zum Schutz des Werkzeugs</w:t>
      </w:r>
      <w:r>
        <w:t xml:space="preserve"> und zur </w:t>
      </w:r>
      <w:r w:rsidR="006D6672">
        <w:t xml:space="preserve">späteren </w:t>
      </w:r>
      <w:r>
        <w:t xml:space="preserve">Entformung des Bauteils </w:t>
      </w:r>
      <w:r w:rsidRPr="005E1D30">
        <w:t>wird eine Trennfolie aus LM-ETFE verwendet.</w:t>
      </w:r>
      <w:r>
        <w:t xml:space="preserve"> </w:t>
      </w:r>
      <w:r w:rsidRPr="005E1D30">
        <w:t>De</w:t>
      </w:r>
      <w:r>
        <w:t>r</w:t>
      </w:r>
      <w:r w:rsidRPr="005E1D30">
        <w:t xml:space="preserve"> hier verwendete Verkapselungs</w:t>
      </w:r>
      <w:r>
        <w:t>prozess</w:t>
      </w:r>
      <w:r w:rsidRPr="005E1D30">
        <w:t xml:space="preserve"> ist als </w:t>
      </w:r>
      <w:proofErr w:type="spellStart"/>
      <w:r>
        <w:t>Local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</w:t>
      </w:r>
      <w:proofErr w:type="spellStart"/>
      <w:r>
        <w:t>Molding</w:t>
      </w:r>
      <w:proofErr w:type="spellEnd"/>
      <w:r w:rsidRPr="005E1D30">
        <w:t xml:space="preserve"> bekannt</w:t>
      </w:r>
      <w:r>
        <w:t xml:space="preserve"> </w:t>
      </w:r>
      <w:r>
        <w:rPr>
          <w:bCs/>
          <w:color w:val="000000" w:themeColor="text1"/>
        </w:rPr>
        <w:fldChar w:fldCharType="begin"/>
      </w:r>
      <w:r>
        <w:rPr>
          <w:bCs/>
          <w:color w:val="000000" w:themeColor="text1"/>
        </w:rPr>
        <w:instrText xml:space="preserve"> REF _Ref157166372 \r \h </w:instrText>
      </w:r>
      <w:r>
        <w:rPr>
          <w:bCs/>
          <w:color w:val="000000" w:themeColor="text1"/>
        </w:rPr>
      </w:r>
      <w:r>
        <w:rPr>
          <w:bCs/>
          <w:color w:val="000000" w:themeColor="text1"/>
        </w:rPr>
        <w:fldChar w:fldCharType="separate"/>
      </w:r>
      <w:r w:rsidR="00E23353">
        <w:rPr>
          <w:bCs/>
          <w:color w:val="000000" w:themeColor="text1"/>
        </w:rPr>
        <w:t>[12]</w:t>
      </w:r>
      <w:r>
        <w:rPr>
          <w:bCs/>
          <w:color w:val="000000" w:themeColor="text1"/>
        </w:rPr>
        <w:fldChar w:fldCharType="end"/>
      </w:r>
      <w:r w:rsidRPr="005E1D30">
        <w:t>.</w:t>
      </w:r>
      <w:r w:rsidR="00EF6A1F">
        <w:t xml:space="preserve"> </w:t>
      </w:r>
      <w:r w:rsidR="00BC5BCF">
        <w:t>Das Material wird mir einer Werkzeugtemperatur von 170 °C, einem Werkzeuginnendruck von 50 bar, einer</w:t>
      </w:r>
      <w:r w:rsidR="00BC5BCF" w:rsidRPr="00BC5BCF">
        <w:t xml:space="preserve"> </w:t>
      </w:r>
      <w:r w:rsidR="00BC5BCF">
        <w:t>Kolbenvorschub</w:t>
      </w:r>
      <w:r w:rsidR="00BC5BCF" w:rsidRPr="00D155CF">
        <w:t>geschwindigkeit von 0</w:t>
      </w:r>
      <w:r w:rsidR="00BC5BCF">
        <w:t>.</w:t>
      </w:r>
      <w:r w:rsidR="00BC5BCF" w:rsidRPr="00D155CF">
        <w:t>2 mm/s und eine</w:t>
      </w:r>
      <w:r w:rsidR="00BC5BCF">
        <w:t>r</w:t>
      </w:r>
      <w:r w:rsidR="00BC5BCF" w:rsidRPr="00D155CF">
        <w:t xml:space="preserve"> Zykluszeit von 900 s</w:t>
      </w:r>
      <w:r w:rsidR="00BC5BCF">
        <w:t xml:space="preserve"> verarbeitet. U</w:t>
      </w:r>
      <w:r w:rsidRPr="005E1D30">
        <w:t xml:space="preserve">m </w:t>
      </w:r>
      <w:r>
        <w:t>den Vernetzungsgrad des EMC</w:t>
      </w:r>
      <w:r w:rsidRPr="005E1D30">
        <w:t xml:space="preserve"> während des Prozesses zu beobachten, </w:t>
      </w:r>
      <w:r>
        <w:t>werden</w:t>
      </w:r>
      <w:r w:rsidRPr="005E1D30">
        <w:t xml:space="preserve"> dielektrische Sensoren und ein FT-IR-Sensor i</w:t>
      </w:r>
      <w:r>
        <w:t>m</w:t>
      </w:r>
      <w:r w:rsidRPr="005E1D30">
        <w:t xml:space="preserve"> Werkzeug </w:t>
      </w:r>
      <w:r>
        <w:t>implementiert, die in</w:t>
      </w:r>
      <w:r w:rsidRPr="005E1D30">
        <w:t xml:space="preserve"> direkte</w:t>
      </w:r>
      <w:r>
        <w:t>m</w:t>
      </w:r>
      <w:r w:rsidRPr="005E1D30">
        <w:t xml:space="preserve"> Kontakt mit dem EMC</w:t>
      </w:r>
      <w:r>
        <w:t xml:space="preserve"> messen</w:t>
      </w:r>
      <w:r w:rsidRPr="005E1D30">
        <w:t xml:space="preserve">. </w:t>
      </w:r>
      <w:r>
        <w:t xml:space="preserve">Eine detaillierte Beschreibung des Messaufbaus ist in </w:t>
      </w:r>
      <w:r>
        <w:fldChar w:fldCharType="begin"/>
      </w:r>
      <w:r>
        <w:instrText xml:space="preserve"> REF _Ref157166436 \r \h </w:instrText>
      </w:r>
      <w:r>
        <w:fldChar w:fldCharType="separate"/>
      </w:r>
      <w:r w:rsidR="00E23353">
        <w:t>[8]</w:t>
      </w:r>
      <w:r>
        <w:fldChar w:fldCharType="end"/>
      </w:r>
      <w:r>
        <w:t xml:space="preserve"> erläutert.</w:t>
      </w:r>
    </w:p>
    <w:p w14:paraId="40A14DDA" w14:textId="1D175F68" w:rsidR="004D62B1" w:rsidRPr="00D52910" w:rsidRDefault="00626F46" w:rsidP="003B52D4">
      <w:pPr>
        <w:pStyle w:val="Listenabsatz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val="de-DE"/>
        </w:rPr>
      </w:pPr>
      <w:r w:rsidRPr="00D52910">
        <w:rPr>
          <w:rFonts w:ascii="Times New Roman" w:hAnsi="Times New Roman" w:cs="Times New Roman"/>
          <w:b/>
          <w:color w:val="000000" w:themeColor="text1"/>
          <w:sz w:val="20"/>
          <w:szCs w:val="20"/>
          <w:lang w:val="de-DE"/>
        </w:rPr>
        <w:t>Untersuchung des Vernetzungsvorgangs von Epoxidharzen</w:t>
      </w:r>
    </w:p>
    <w:p w14:paraId="759DC2F2" w14:textId="551F2DEC" w:rsidR="00FC28CF" w:rsidRPr="005E1D30" w:rsidRDefault="00D52910" w:rsidP="00FC28CF">
      <w:pPr>
        <w:spacing w:after="240" w:line="0" w:lineRule="atLeast"/>
        <w:jc w:val="both"/>
        <w:rPr>
          <w:rFonts w:ascii="Times New Roman" w:hAnsi="Times New Roman" w:cs="Times New Roman"/>
          <w:sz w:val="20"/>
          <w:szCs w:val="20"/>
          <w:lang w:val="de-DE"/>
        </w:rPr>
      </w:pPr>
      <w:r>
        <w:rPr>
          <w:rFonts w:ascii="Times New Roman" w:hAnsi="Times New Roman" w:cs="Times New Roman"/>
          <w:sz w:val="20"/>
          <w:szCs w:val="20"/>
          <w:lang w:val="de-DE"/>
        </w:rPr>
        <w:t>4</w:t>
      </w:r>
      <w:r w:rsidR="00FC28CF" w:rsidRPr="005E1D30">
        <w:rPr>
          <w:rFonts w:ascii="Times New Roman" w:hAnsi="Times New Roman" w:cs="Times New Roman"/>
          <w:sz w:val="20"/>
          <w:szCs w:val="20"/>
          <w:lang w:val="de-DE"/>
        </w:rPr>
        <w:t>.1. In-situ Infrarotspektren</w:t>
      </w:r>
    </w:p>
    <w:p w14:paraId="2E83EFD2" w14:textId="71748846" w:rsidR="00497DF3" w:rsidRDefault="00497DF3" w:rsidP="00497DF3">
      <w:pPr>
        <w:pStyle w:val="Textkrper"/>
        <w:spacing w:line="0" w:lineRule="atLeast"/>
      </w:pPr>
      <w:r>
        <w:t>Es</w:t>
      </w:r>
      <w:r w:rsidRPr="00497DF3">
        <w:t xml:space="preserve"> können insgesamt 115 nutzbare </w:t>
      </w:r>
      <w:r w:rsidR="008A0025">
        <w:t>FT-</w:t>
      </w:r>
      <w:r w:rsidRPr="00497DF3">
        <w:t xml:space="preserve">IR-Spektren während eines </w:t>
      </w:r>
      <w:r>
        <w:t>Verkapselungsvorgangs</w:t>
      </w:r>
      <w:r w:rsidRPr="00497DF3">
        <w:t xml:space="preserve"> mit einer Zykluszeit von 900 s aufgenommen werden. </w:t>
      </w:r>
      <w:r w:rsidR="008A0025">
        <w:t>Abbildung 1</w:t>
      </w:r>
      <w:r w:rsidRPr="00497DF3">
        <w:t xml:space="preserve"> zeigt </w:t>
      </w:r>
      <w:r w:rsidR="009D3B29">
        <w:t xml:space="preserve">jedes zehnte aufgezeichnete </w:t>
      </w:r>
      <w:r w:rsidR="008A0025">
        <w:t>FT-</w:t>
      </w:r>
      <w:r w:rsidR="009D3B29">
        <w:t>IR-Spektrum</w:t>
      </w:r>
      <w:r w:rsidR="008A0025">
        <w:t xml:space="preserve"> für einen Molding-Versuch</w:t>
      </w:r>
      <w:r w:rsidRPr="00497DF3">
        <w:t xml:space="preserve">. Die Transmission ist gegen die Wellenzahlen aufgetragen, wobei sich Banden </w:t>
      </w:r>
      <w:r>
        <w:t>aus</w:t>
      </w:r>
      <w:r w:rsidRPr="00497DF3">
        <w:t xml:space="preserve">bilden, die charakteristisch für die Materialzusammensetzung des </w:t>
      </w:r>
      <w:r w:rsidR="008A0025">
        <w:t>EMC</w:t>
      </w:r>
      <w:r w:rsidRPr="00497DF3">
        <w:t xml:space="preserve"> sind. </w:t>
      </w:r>
    </w:p>
    <w:p w14:paraId="1E9CC86A" w14:textId="472E8293" w:rsidR="00A41693" w:rsidRDefault="00A41693" w:rsidP="00497DF3">
      <w:pPr>
        <w:pStyle w:val="Textkrper"/>
        <w:spacing w:line="0" w:lineRule="atLeast"/>
      </w:pPr>
      <w:r>
        <w:rPr>
          <w:noProof/>
        </w:rPr>
        <w:lastRenderedPageBreak/>
        <w:drawing>
          <wp:inline distT="0" distB="0" distL="0" distR="0" wp14:anchorId="5E542C40" wp14:editId="5E326DD6">
            <wp:extent cx="4320199" cy="2880000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19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F4B60" w14:textId="360E5816" w:rsidR="008A0025" w:rsidRDefault="00445566" w:rsidP="003B52D4">
      <w:pPr>
        <w:spacing w:after="240" w:line="0" w:lineRule="atLeast"/>
        <w:jc w:val="both"/>
        <w:rPr>
          <w:rFonts w:ascii="Times New Roman" w:hAnsi="Times New Roman" w:cs="Times New Roman"/>
          <w:i/>
          <w:sz w:val="17"/>
          <w:szCs w:val="17"/>
          <w:lang w:val="de-DE"/>
        </w:rPr>
      </w:pPr>
      <w:r w:rsidRPr="005E1D30">
        <w:rPr>
          <w:rFonts w:ascii="Times New Roman" w:hAnsi="Times New Roman" w:cs="Times New Roman"/>
          <w:i/>
          <w:sz w:val="17"/>
          <w:szCs w:val="17"/>
          <w:lang w:val="de-DE"/>
        </w:rPr>
        <w:t xml:space="preserve">Abbildung 1: </w:t>
      </w:r>
      <w:r w:rsidR="008A0025">
        <w:rPr>
          <w:rFonts w:ascii="Times New Roman" w:hAnsi="Times New Roman" w:cs="Times New Roman"/>
          <w:i/>
          <w:sz w:val="17"/>
          <w:szCs w:val="17"/>
          <w:lang w:val="de-DE"/>
        </w:rPr>
        <w:t>G</w:t>
      </w:r>
      <w:r w:rsidR="007261DB" w:rsidRPr="005E1D30">
        <w:rPr>
          <w:rFonts w:ascii="Times New Roman" w:hAnsi="Times New Roman" w:cs="Times New Roman"/>
          <w:i/>
          <w:sz w:val="17"/>
          <w:szCs w:val="17"/>
          <w:lang w:val="de-DE"/>
        </w:rPr>
        <w:t>emessene FT-IR Spektren</w:t>
      </w:r>
      <w:r w:rsidR="000075CF">
        <w:rPr>
          <w:rFonts w:ascii="Times New Roman" w:hAnsi="Times New Roman" w:cs="Times New Roman"/>
          <w:i/>
          <w:sz w:val="17"/>
          <w:szCs w:val="17"/>
          <w:lang w:val="de-DE"/>
        </w:rPr>
        <w:t xml:space="preserve"> nach verschiedenen Zeitpunkten</w:t>
      </w:r>
      <w:r w:rsidR="007261DB" w:rsidRPr="005E1D30">
        <w:rPr>
          <w:rFonts w:ascii="Times New Roman" w:hAnsi="Times New Roman" w:cs="Times New Roman"/>
          <w:i/>
          <w:sz w:val="17"/>
          <w:szCs w:val="17"/>
          <w:lang w:val="de-DE"/>
        </w:rPr>
        <w:t xml:space="preserve"> während eines </w:t>
      </w:r>
      <w:r w:rsidR="00DE2402">
        <w:rPr>
          <w:rFonts w:ascii="Times New Roman" w:hAnsi="Times New Roman" w:cs="Times New Roman"/>
          <w:i/>
          <w:sz w:val="17"/>
          <w:szCs w:val="17"/>
          <w:lang w:val="de-DE"/>
        </w:rPr>
        <w:t>Verkapselungsvorgangs</w:t>
      </w:r>
      <w:r w:rsidR="007261DB" w:rsidRPr="005E1D30">
        <w:rPr>
          <w:rFonts w:ascii="Times New Roman" w:hAnsi="Times New Roman" w:cs="Times New Roman"/>
          <w:i/>
          <w:sz w:val="17"/>
          <w:szCs w:val="17"/>
          <w:lang w:val="de-DE"/>
        </w:rPr>
        <w:t xml:space="preserve"> </w:t>
      </w:r>
    </w:p>
    <w:p w14:paraId="2021D80F" w14:textId="43DB10C4" w:rsidR="00BC5BCF" w:rsidRDefault="00497DF3" w:rsidP="00497DF3">
      <w:pPr>
        <w:pStyle w:val="Textkrper"/>
        <w:spacing w:line="0" w:lineRule="atLeast"/>
      </w:pPr>
      <w:r w:rsidRPr="00497DF3">
        <w:t>Die erste signifikante Schulter</w:t>
      </w:r>
      <w:r w:rsidR="00FA6D88">
        <w:t>,</w:t>
      </w:r>
      <w:r w:rsidRPr="00497DF3">
        <w:t xml:space="preserve"> </w:t>
      </w:r>
      <w:r w:rsidR="00FA6D88">
        <w:t xml:space="preserve">die die </w:t>
      </w:r>
      <w:proofErr w:type="spellStart"/>
      <w:r w:rsidR="00FA6D88">
        <w:t>Epoxy</w:t>
      </w:r>
      <w:proofErr w:type="spellEnd"/>
      <w:r w:rsidR="00FA6D88">
        <w:t xml:space="preserve">-Bande darstellt, ist bei </w:t>
      </w:r>
      <w:r w:rsidRPr="00497DF3">
        <w:t>der Wellenzahl 916 cm</w:t>
      </w:r>
      <w:r w:rsidRPr="00497DF3">
        <w:rPr>
          <w:vertAlign w:val="superscript"/>
        </w:rPr>
        <w:t>-1</w:t>
      </w:r>
      <w:r w:rsidRPr="00497DF3">
        <w:t xml:space="preserve"> zu erkennen. Diese Schulter verschwindet während des </w:t>
      </w:r>
      <w:r>
        <w:t>Verkapselungs</w:t>
      </w:r>
      <w:r w:rsidRPr="00497DF3">
        <w:t xml:space="preserve">prozesses, da der </w:t>
      </w:r>
      <w:proofErr w:type="spellStart"/>
      <w:r w:rsidRPr="00497DF3">
        <w:t>Epox</w:t>
      </w:r>
      <w:r w:rsidR="008A0025">
        <w:t>y</w:t>
      </w:r>
      <w:proofErr w:type="spellEnd"/>
      <w:r w:rsidR="008A0025">
        <w:t>-R</w:t>
      </w:r>
      <w:r w:rsidRPr="00497DF3">
        <w:t xml:space="preserve">ing während der Vernetzung aufgebrochen wird. Eine weitere charakteristische Bande </w:t>
      </w:r>
      <w:r w:rsidR="0072115A">
        <w:t>zeigt sich</w:t>
      </w:r>
      <w:r w:rsidRPr="00497DF3">
        <w:t xml:space="preserve"> bei der Wellenzahl 1006 cm</w:t>
      </w:r>
      <w:r w:rsidRPr="00497DF3">
        <w:rPr>
          <w:vertAlign w:val="superscript"/>
        </w:rPr>
        <w:t>-1</w:t>
      </w:r>
      <w:r w:rsidRPr="00497DF3">
        <w:t xml:space="preserve">, die den Siliziumdioxid-Füllstoff darstellt. </w:t>
      </w:r>
      <w:r w:rsidR="002E13FE">
        <w:t>Aufgrund des hohen Füllstoffgehaltes</w:t>
      </w:r>
      <w:r w:rsidRPr="00497DF3">
        <w:t xml:space="preserve"> </w:t>
      </w:r>
      <w:r w:rsidR="008F2446">
        <w:t>bilden sich bei</w:t>
      </w:r>
      <w:r w:rsidRPr="00497DF3">
        <w:t xml:space="preserve"> diese</w:t>
      </w:r>
      <w:r w:rsidR="008F2446">
        <w:t>r</w:t>
      </w:r>
      <w:r w:rsidRPr="00497DF3">
        <w:t xml:space="preserve"> Bande </w:t>
      </w:r>
      <w:r w:rsidRPr="008F2446">
        <w:t xml:space="preserve">sehr </w:t>
      </w:r>
      <w:r w:rsidR="008F2446">
        <w:t>niedrige Transmissionswerte aus</w:t>
      </w:r>
      <w:r w:rsidRPr="00497DF3">
        <w:t xml:space="preserve">. Außerdem </w:t>
      </w:r>
      <w:r w:rsidR="008F2446">
        <w:t>entsteht</w:t>
      </w:r>
      <w:r w:rsidRPr="00497DF3">
        <w:t xml:space="preserve"> während des Vernetzungsprozesses eine Bande bei der Wellenzahl 1230 cm</w:t>
      </w:r>
      <w:r w:rsidRPr="00497DF3">
        <w:rPr>
          <w:vertAlign w:val="superscript"/>
        </w:rPr>
        <w:t>-1</w:t>
      </w:r>
      <w:r w:rsidRPr="00497DF3">
        <w:t xml:space="preserve">. Diese </w:t>
      </w:r>
      <w:r w:rsidR="008F2446">
        <w:t>repräsentiert</w:t>
      </w:r>
      <w:r w:rsidRPr="00497DF3">
        <w:t xml:space="preserve"> die Reaktion des Phenolharzes, </w:t>
      </w:r>
      <w:r>
        <w:t>welches</w:t>
      </w:r>
      <w:r w:rsidRPr="00497DF3">
        <w:t xml:space="preserve"> </w:t>
      </w:r>
      <w:r w:rsidR="002E13FE" w:rsidRPr="00497DF3">
        <w:t xml:space="preserve">als Härter </w:t>
      </w:r>
      <w:r w:rsidRPr="00497DF3">
        <w:t xml:space="preserve">mit dem Epoxidharz reagiert. </w:t>
      </w:r>
      <w:r>
        <w:t>Weiterhin</w:t>
      </w:r>
      <w:r w:rsidRPr="00497DF3">
        <w:t xml:space="preserve"> sind charakteristische Banden bei den Wellenzahlen 1450 cm</w:t>
      </w:r>
      <w:r w:rsidRPr="00497DF3">
        <w:rPr>
          <w:vertAlign w:val="superscript"/>
        </w:rPr>
        <w:t>-1</w:t>
      </w:r>
      <w:r w:rsidRPr="00497DF3">
        <w:t>, 1508 cm</w:t>
      </w:r>
      <w:r w:rsidRPr="00497DF3">
        <w:rPr>
          <w:vertAlign w:val="superscript"/>
        </w:rPr>
        <w:t>-1</w:t>
      </w:r>
      <w:r w:rsidRPr="00497DF3">
        <w:t xml:space="preserve"> und 1610 cm</w:t>
      </w:r>
      <w:r w:rsidRPr="00497DF3">
        <w:rPr>
          <w:vertAlign w:val="superscript"/>
        </w:rPr>
        <w:t>-1</w:t>
      </w:r>
      <w:r w:rsidRPr="00497DF3">
        <w:t xml:space="preserve"> zu erkennen, die eine C-C-Doppelbindung darstellen, die sowohl im Harz als auch im Härter des EMC auftreten kann. </w:t>
      </w:r>
      <w:r w:rsidR="00BC5BCF">
        <w:t xml:space="preserve">Erste Ergebnisse wurden bereits in </w:t>
      </w:r>
      <w:r w:rsidR="00BC5BCF">
        <w:fldChar w:fldCharType="begin"/>
      </w:r>
      <w:r w:rsidR="00BC5BCF">
        <w:instrText xml:space="preserve"> REF _Ref157167566 \r \h  \* MERGEFORMAT </w:instrText>
      </w:r>
      <w:r w:rsidR="00BC5BCF">
        <w:fldChar w:fldCharType="separate"/>
      </w:r>
      <w:r w:rsidR="00E23353">
        <w:t>[8]</w:t>
      </w:r>
      <w:r w:rsidR="00BC5BCF">
        <w:fldChar w:fldCharType="end"/>
      </w:r>
      <w:r w:rsidR="00BC5BCF">
        <w:t xml:space="preserve"> publiziert.</w:t>
      </w:r>
    </w:p>
    <w:p w14:paraId="664CAE6B" w14:textId="13F6A160" w:rsidR="005469E7" w:rsidRDefault="00D52910" w:rsidP="005469E7">
      <w:pPr>
        <w:pStyle w:val="Textkrper"/>
        <w:spacing w:line="0" w:lineRule="atLeast"/>
      </w:pPr>
      <w:r>
        <w:t>4</w:t>
      </w:r>
      <w:r w:rsidR="00FC28CF" w:rsidRPr="005E1D30">
        <w:t>.2. Auswertung der chemischen Vernetzung</w:t>
      </w:r>
      <w:r w:rsidR="00626F46">
        <w:t xml:space="preserve"> aus Infrarotspektren</w:t>
      </w:r>
    </w:p>
    <w:p w14:paraId="2D3D36A5" w14:textId="7C11614F" w:rsidR="005469E7" w:rsidRDefault="005469E7" w:rsidP="005469E7">
      <w:pPr>
        <w:pStyle w:val="Textkrper"/>
        <w:spacing w:line="0" w:lineRule="atLeast"/>
        <w:rPr>
          <w:iCs/>
        </w:rPr>
      </w:pPr>
      <w:r w:rsidRPr="005469E7">
        <w:t xml:space="preserve">Die aufgenommenen </w:t>
      </w:r>
      <w:r w:rsidR="008A0025">
        <w:t>FT-</w:t>
      </w:r>
      <w:r w:rsidRPr="005469E7">
        <w:t>IR-Spektren dienen zur Überwachung der Vernetzung der Epoxidharze während der Verarbeitung. Der chemische</w:t>
      </w:r>
      <w:r w:rsidRPr="005469E7">
        <w:rPr>
          <w:iCs/>
        </w:rPr>
        <w:t xml:space="preserve"> Vernetzungsprozess wird in den </w:t>
      </w:r>
      <w:r w:rsidR="008A0025">
        <w:rPr>
          <w:iCs/>
        </w:rPr>
        <w:t>FT-</w:t>
      </w:r>
      <w:r w:rsidRPr="005469E7">
        <w:rPr>
          <w:iCs/>
        </w:rPr>
        <w:t xml:space="preserve">IR-Spektren durch die Messung von Veränderungen in den vorhandenen Banden sichtbar. </w:t>
      </w:r>
      <w:r>
        <w:rPr>
          <w:iCs/>
        </w:rPr>
        <w:t>Zusätzlich</w:t>
      </w:r>
      <w:r w:rsidRPr="005469E7">
        <w:rPr>
          <w:iCs/>
        </w:rPr>
        <w:t xml:space="preserve"> gibt es</w:t>
      </w:r>
      <w:r>
        <w:rPr>
          <w:iCs/>
        </w:rPr>
        <w:t xml:space="preserve"> jedoch auch</w:t>
      </w:r>
      <w:r w:rsidRPr="005469E7">
        <w:rPr>
          <w:iCs/>
        </w:rPr>
        <w:t xml:space="preserve"> Wellenzahlbereiche, die sich mit zunehmender Vernetzung nicht verändern. Aus diesem Grund ist es wichtig, die relevanten Wellenzahlbereiche zu identifizieren, die rein systematische Änderungen während der chemischen Vernetzung aufweisen.</w:t>
      </w:r>
    </w:p>
    <w:p w14:paraId="35D95E0E" w14:textId="71D42F06" w:rsidR="00E9370C" w:rsidRDefault="005469E7" w:rsidP="005469E7">
      <w:pPr>
        <w:pStyle w:val="Textkrper"/>
        <w:spacing w:line="0" w:lineRule="atLeast"/>
      </w:pPr>
      <w:r>
        <w:rPr>
          <w:iCs/>
        </w:rPr>
        <w:t xml:space="preserve">Zur Identifikation dieser Wellenzahlbereiche </w:t>
      </w:r>
      <w:r w:rsidR="001819A0">
        <w:rPr>
          <w:iCs/>
        </w:rPr>
        <w:t>werden die Differenzen der Infrarotspektren in Relation zum ersten aufgezeichneten Spektrum gebildet</w:t>
      </w:r>
      <w:r w:rsidR="00C4577C">
        <w:rPr>
          <w:iCs/>
        </w:rPr>
        <w:t>,</w:t>
      </w:r>
      <w:r w:rsidR="001819A0">
        <w:rPr>
          <w:iCs/>
        </w:rPr>
        <w:t xml:space="preserve"> </w:t>
      </w:r>
      <w:r w:rsidR="00C4577C">
        <w:rPr>
          <w:iCs/>
        </w:rPr>
        <w:t>wobei</w:t>
      </w:r>
      <w:r w:rsidR="001819A0">
        <w:rPr>
          <w:iCs/>
        </w:rPr>
        <w:t xml:space="preserve"> </w:t>
      </w:r>
      <w:r w:rsidR="00E72935">
        <w:rPr>
          <w:iCs/>
        </w:rPr>
        <w:t xml:space="preserve">jede zehnte Differenz </w:t>
      </w:r>
      <w:r w:rsidR="001819A0">
        <w:rPr>
          <w:iCs/>
        </w:rPr>
        <w:t>in</w:t>
      </w:r>
      <w:r w:rsidR="008A0025">
        <w:rPr>
          <w:iCs/>
        </w:rPr>
        <w:t xml:space="preserve"> Abbildung 2</w:t>
      </w:r>
      <w:r w:rsidR="001819A0">
        <w:rPr>
          <w:iCs/>
        </w:rPr>
        <w:t xml:space="preserve"> über den Wellenzahlen aufgetragen</w:t>
      </w:r>
      <w:r w:rsidR="00C4577C">
        <w:rPr>
          <w:iCs/>
        </w:rPr>
        <w:t xml:space="preserve"> ist</w:t>
      </w:r>
      <w:r w:rsidR="00E9370C">
        <w:rPr>
          <w:iCs/>
        </w:rPr>
        <w:t xml:space="preserve">. Die drei Bereiche mit den größten Differenzen befinden sich um die Banden </w:t>
      </w:r>
      <w:r w:rsidR="00E9370C" w:rsidRPr="00497DF3">
        <w:t>916 cm</w:t>
      </w:r>
      <w:r w:rsidR="00E9370C" w:rsidRPr="00497DF3">
        <w:rPr>
          <w:vertAlign w:val="superscript"/>
        </w:rPr>
        <w:t>-1</w:t>
      </w:r>
      <w:r w:rsidR="00E9370C">
        <w:t xml:space="preserve">, </w:t>
      </w:r>
      <w:r w:rsidR="00E9370C" w:rsidRPr="00497DF3">
        <w:t>1230 cm</w:t>
      </w:r>
      <w:r w:rsidR="00E9370C" w:rsidRPr="00497DF3">
        <w:rPr>
          <w:vertAlign w:val="superscript"/>
        </w:rPr>
        <w:t>-1</w:t>
      </w:r>
      <w:r w:rsidR="00E9370C">
        <w:t xml:space="preserve"> und </w:t>
      </w:r>
      <w:r w:rsidR="00E9370C" w:rsidRPr="00497DF3">
        <w:t>1450 cm</w:t>
      </w:r>
      <w:r w:rsidR="00E9370C" w:rsidRPr="00497DF3">
        <w:rPr>
          <w:vertAlign w:val="superscript"/>
        </w:rPr>
        <w:t>-1</w:t>
      </w:r>
      <w:r w:rsidR="00E9370C" w:rsidRPr="00497DF3">
        <w:t>,</w:t>
      </w:r>
      <w:r w:rsidR="00E9370C">
        <w:t xml:space="preserve"> die mit der </w:t>
      </w:r>
      <w:r w:rsidR="003550BD">
        <w:t xml:space="preserve">chemischen </w:t>
      </w:r>
      <w:r w:rsidR="00E9370C">
        <w:t xml:space="preserve">Reaktion des Epoxidharzes mit dem Phenolharz in Zusammenhang gebracht werden können. Um nicht lediglich eine Einzelbande zu </w:t>
      </w:r>
      <w:r w:rsidR="009978AA">
        <w:t>berücksichtigen</w:t>
      </w:r>
      <w:r w:rsidR="00E9370C">
        <w:t xml:space="preserve">, werden folglich </w:t>
      </w:r>
      <w:r w:rsidR="00E9370C" w:rsidRPr="00A924DA">
        <w:t xml:space="preserve">um die drei Banden drei Wellenzahlbereiche definiert: von </w:t>
      </w:r>
      <w:r w:rsidR="00A924DA" w:rsidRPr="00A924DA">
        <w:t>848 cm</w:t>
      </w:r>
      <w:r w:rsidR="00A924DA" w:rsidRPr="00A924DA">
        <w:rPr>
          <w:vertAlign w:val="superscript"/>
        </w:rPr>
        <w:t>-1</w:t>
      </w:r>
      <w:r w:rsidR="00E9370C" w:rsidRPr="00A924DA">
        <w:t xml:space="preserve"> bis </w:t>
      </w:r>
      <w:r w:rsidR="00A924DA" w:rsidRPr="00A924DA">
        <w:t>1036 cm</w:t>
      </w:r>
      <w:r w:rsidR="00A924DA" w:rsidRPr="00A924DA">
        <w:rPr>
          <w:vertAlign w:val="superscript"/>
        </w:rPr>
        <w:t>-1</w:t>
      </w:r>
      <w:r w:rsidR="00E9370C" w:rsidRPr="00A924DA">
        <w:t xml:space="preserve">, von </w:t>
      </w:r>
      <w:r w:rsidR="009978AA" w:rsidRPr="00A924DA">
        <w:t>1196</w:t>
      </w:r>
      <w:r w:rsidR="00A924DA" w:rsidRPr="00A924DA">
        <w:t xml:space="preserve"> cm</w:t>
      </w:r>
      <w:r w:rsidR="00A924DA" w:rsidRPr="00A924DA">
        <w:rPr>
          <w:vertAlign w:val="superscript"/>
        </w:rPr>
        <w:t>-1</w:t>
      </w:r>
      <w:r w:rsidR="00E9370C" w:rsidRPr="00A924DA">
        <w:t xml:space="preserve"> bis</w:t>
      </w:r>
      <w:r w:rsidR="009978AA" w:rsidRPr="00A924DA">
        <w:t xml:space="preserve"> 1254</w:t>
      </w:r>
      <w:r w:rsidR="00A924DA" w:rsidRPr="00A924DA">
        <w:t xml:space="preserve"> cm</w:t>
      </w:r>
      <w:r w:rsidR="00A924DA" w:rsidRPr="00A924DA">
        <w:rPr>
          <w:vertAlign w:val="superscript"/>
        </w:rPr>
        <w:t>-1</w:t>
      </w:r>
      <w:r w:rsidR="00E9370C" w:rsidRPr="00A924DA">
        <w:t xml:space="preserve"> und von </w:t>
      </w:r>
      <w:r w:rsidR="009978AA" w:rsidRPr="00A924DA">
        <w:t>1444</w:t>
      </w:r>
      <w:r w:rsidR="00A924DA" w:rsidRPr="00A924DA">
        <w:t xml:space="preserve"> cm</w:t>
      </w:r>
      <w:r w:rsidR="00A924DA" w:rsidRPr="00A924DA">
        <w:rPr>
          <w:vertAlign w:val="superscript"/>
        </w:rPr>
        <w:t>-1</w:t>
      </w:r>
      <w:r w:rsidR="00E9370C" w:rsidRPr="00A924DA">
        <w:t xml:space="preserve"> bis </w:t>
      </w:r>
      <w:r w:rsidR="009978AA" w:rsidRPr="00A924DA">
        <w:t>15</w:t>
      </w:r>
      <w:r w:rsidR="00A924DA" w:rsidRPr="00A924DA">
        <w:t>08 cm</w:t>
      </w:r>
      <w:r w:rsidR="00A924DA" w:rsidRPr="00A924DA">
        <w:rPr>
          <w:vertAlign w:val="superscript"/>
        </w:rPr>
        <w:t>-1</w:t>
      </w:r>
      <w:r w:rsidR="00E9370C" w:rsidRPr="00A924DA">
        <w:t xml:space="preserve">. </w:t>
      </w:r>
      <w:r w:rsidR="009978AA" w:rsidRPr="00A924DA">
        <w:t>Innerhalb dieser Bereiche sinken die</w:t>
      </w:r>
      <w:r w:rsidR="009978AA" w:rsidRPr="009978AA">
        <w:t xml:space="preserve"> Transmissionswerte der Spektren mit zunehmender Vernetzung.</w:t>
      </w:r>
      <w:r w:rsidR="009978AA">
        <w:t xml:space="preserve"> Um auf </w:t>
      </w:r>
      <w:r w:rsidR="008A0025">
        <w:t>die zeitliche Veränderung der</w:t>
      </w:r>
      <w:r w:rsidR="009978AA">
        <w:t xml:space="preserve"> Vernetzung schließen zu können, </w:t>
      </w:r>
      <w:r w:rsidR="0014074E">
        <w:t>muss</w:t>
      </w:r>
      <w:r w:rsidR="009978AA">
        <w:t xml:space="preserve"> die Dimension reduziert werden, da pro Zeitpunkt nicht ein skalarer Wert, sondern ein Spektrum zur Verfügung steht. Aus diesem Grund wird das Integral für jedes aufgezeichnete </w:t>
      </w:r>
      <w:r w:rsidR="008A0025">
        <w:t>FT-</w:t>
      </w:r>
      <w:r w:rsidR="009978AA">
        <w:t xml:space="preserve">IR-Spektrum innerhalb der zuvor definierten Wellenzahlbereiche berechnet und </w:t>
      </w:r>
      <w:r w:rsidR="00FA6D88">
        <w:t xml:space="preserve">die Einzelintegrale </w:t>
      </w:r>
      <w:r w:rsidR="009978AA">
        <w:t xml:space="preserve">aufsummiert. So wird pro Zeitpunkt das Spektrum auf einen Wert reduziert und die Veränderung des Integrals kann über der Zeit aufgetragen werden. Diese Änderung steht repräsentativ für chemische Änderungen </w:t>
      </w:r>
      <w:r w:rsidR="0014074E">
        <w:t>im Prozess aufgrund de</w:t>
      </w:r>
      <w:r w:rsidR="008A0025">
        <w:t>s</w:t>
      </w:r>
      <w:r w:rsidR="0014074E">
        <w:t xml:space="preserve"> Vernetzung</w:t>
      </w:r>
      <w:r w:rsidR="008A0025">
        <w:t>svorgangs</w:t>
      </w:r>
      <w:r w:rsidR="009978AA">
        <w:t>.</w:t>
      </w:r>
      <w:r w:rsidR="008A0025">
        <w:t xml:space="preserve"> Abbildung 3 (blau)</w:t>
      </w:r>
      <w:r w:rsidR="009978AA">
        <w:t xml:space="preserve"> zeigt </w:t>
      </w:r>
      <w:r w:rsidR="008A0025">
        <w:t>zunächst</w:t>
      </w:r>
      <w:r w:rsidR="0074014C">
        <w:t xml:space="preserve"> </w:t>
      </w:r>
      <w:r w:rsidR="008A0025">
        <w:t>die</w:t>
      </w:r>
      <w:r w:rsidR="009978AA">
        <w:t xml:space="preserve"> ausgewertete</w:t>
      </w:r>
      <w:r w:rsidR="008A0025">
        <w:t>n</w:t>
      </w:r>
      <w:r w:rsidR="009978AA">
        <w:t xml:space="preserve"> </w:t>
      </w:r>
      <w:r w:rsidR="008A0025">
        <w:t>Integrale</w:t>
      </w:r>
      <w:r w:rsidR="009978AA">
        <w:t xml:space="preserve"> für einen Verkapselungsvorgang. </w:t>
      </w:r>
      <w:r w:rsidR="0074014C">
        <w:t xml:space="preserve">Es ist sichtbar, dass </w:t>
      </w:r>
      <w:r w:rsidR="008A0025">
        <w:t>der Wert des</w:t>
      </w:r>
      <w:r w:rsidR="0074014C">
        <w:t xml:space="preserve"> Integral</w:t>
      </w:r>
      <w:r w:rsidR="008A0025">
        <w:t>s</w:t>
      </w:r>
      <w:r w:rsidR="0074014C">
        <w:t xml:space="preserve"> bis zu einer Zykluszeit von 400 s kontinuierlich sinkt, bis e</w:t>
      </w:r>
      <w:r w:rsidR="00D37FD9">
        <w:t xml:space="preserve">r </w:t>
      </w:r>
      <w:r w:rsidR="0074014C">
        <w:t xml:space="preserve">schließlich stagniert. Ist keine Änderung im Integral sichtbar, so wird davon ausgegangen, dass die Vernetzung des EMC abgeschlossen ist. </w:t>
      </w:r>
      <w:r w:rsidR="0014074E">
        <w:t>Um folglich die Vernetzungskurve zu erhalten, wird die Integralkurve zwischen Null und Eins normiert (</w:t>
      </w:r>
      <w:r w:rsidR="008A0025">
        <w:t>Abbildung 3 in rot</w:t>
      </w:r>
      <w:r w:rsidR="0014074E">
        <w:t xml:space="preserve">). </w:t>
      </w:r>
    </w:p>
    <w:p w14:paraId="5AC04D22" w14:textId="4A73F656" w:rsidR="009D3B29" w:rsidRPr="005E1D30" w:rsidRDefault="009D3B29" w:rsidP="00FC28CF">
      <w:pPr>
        <w:spacing w:after="240" w:line="0" w:lineRule="atLeast"/>
        <w:jc w:val="both"/>
        <w:rPr>
          <w:rFonts w:ascii="Times New Roman" w:hAnsi="Times New Roman" w:cs="Times New Roman"/>
          <w:iCs/>
          <w:sz w:val="20"/>
          <w:szCs w:val="20"/>
          <w:lang w:val="de-DE"/>
        </w:rPr>
      </w:pPr>
      <w:r>
        <w:rPr>
          <w:noProof/>
        </w:rPr>
        <w:lastRenderedPageBreak/>
        <w:drawing>
          <wp:inline distT="0" distB="0" distL="0" distR="0" wp14:anchorId="5DBE1C5A" wp14:editId="76CDE62D">
            <wp:extent cx="3188175" cy="2125450"/>
            <wp:effectExtent l="0" t="0" r="0" b="825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437" cy="2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8BA5F" w14:textId="53777D51" w:rsidR="00264E55" w:rsidRPr="005E1D30" w:rsidRDefault="00264E55" w:rsidP="00264E55">
      <w:pPr>
        <w:spacing w:after="240" w:line="0" w:lineRule="atLeast"/>
        <w:jc w:val="both"/>
        <w:rPr>
          <w:rFonts w:ascii="Times New Roman" w:hAnsi="Times New Roman" w:cs="Times New Roman"/>
          <w:i/>
          <w:sz w:val="17"/>
          <w:szCs w:val="17"/>
          <w:lang w:val="de-DE"/>
        </w:rPr>
      </w:pPr>
      <w:r w:rsidRPr="005E1D30">
        <w:rPr>
          <w:rFonts w:ascii="Times New Roman" w:hAnsi="Times New Roman" w:cs="Times New Roman"/>
          <w:i/>
          <w:sz w:val="17"/>
          <w:szCs w:val="17"/>
          <w:lang w:val="de-DE"/>
        </w:rPr>
        <w:t xml:space="preserve">Abbildung 2: </w:t>
      </w:r>
      <w:r w:rsidR="00E72935">
        <w:rPr>
          <w:rFonts w:ascii="Times New Roman" w:hAnsi="Times New Roman" w:cs="Times New Roman"/>
          <w:i/>
          <w:sz w:val="17"/>
          <w:szCs w:val="17"/>
          <w:lang w:val="de-DE"/>
        </w:rPr>
        <w:t xml:space="preserve">Beispielhafte </w:t>
      </w:r>
      <w:r w:rsidR="003550BD" w:rsidRPr="009D3B29">
        <w:rPr>
          <w:rFonts w:ascii="Times New Roman" w:hAnsi="Times New Roman" w:cs="Times New Roman"/>
          <w:i/>
          <w:sz w:val="17"/>
          <w:szCs w:val="17"/>
          <w:lang w:val="de-DE"/>
        </w:rPr>
        <w:t>Differenz</w:t>
      </w:r>
      <w:r w:rsidR="009D3B29" w:rsidRPr="009D3B29">
        <w:rPr>
          <w:rFonts w:ascii="Times New Roman" w:hAnsi="Times New Roman" w:cs="Times New Roman"/>
          <w:i/>
          <w:sz w:val="17"/>
          <w:szCs w:val="17"/>
          <w:lang w:val="de-DE"/>
        </w:rPr>
        <w:t>en</w:t>
      </w:r>
      <w:r w:rsidR="009D3B29">
        <w:rPr>
          <w:rFonts w:ascii="Times New Roman" w:hAnsi="Times New Roman" w:cs="Times New Roman"/>
          <w:i/>
          <w:sz w:val="17"/>
          <w:szCs w:val="17"/>
          <w:lang w:val="de-DE"/>
        </w:rPr>
        <w:t xml:space="preserve"> der gemessenen </w:t>
      </w:r>
      <w:r w:rsidR="008A0025">
        <w:rPr>
          <w:rFonts w:ascii="Times New Roman" w:hAnsi="Times New Roman" w:cs="Times New Roman"/>
          <w:i/>
          <w:sz w:val="17"/>
          <w:szCs w:val="17"/>
          <w:lang w:val="de-DE"/>
        </w:rPr>
        <w:t>FT-</w:t>
      </w:r>
      <w:r w:rsidR="009D3B29">
        <w:rPr>
          <w:rFonts w:ascii="Times New Roman" w:hAnsi="Times New Roman" w:cs="Times New Roman"/>
          <w:i/>
          <w:sz w:val="17"/>
          <w:szCs w:val="17"/>
          <w:lang w:val="de-DE"/>
        </w:rPr>
        <w:t>IR-Spektren im Verhältnis zum ersten Spektrum</w:t>
      </w:r>
      <w:r w:rsidR="008A0025">
        <w:rPr>
          <w:rFonts w:ascii="Times New Roman" w:hAnsi="Times New Roman" w:cs="Times New Roman"/>
          <w:i/>
          <w:sz w:val="17"/>
          <w:szCs w:val="17"/>
          <w:lang w:val="de-DE"/>
        </w:rPr>
        <w:t xml:space="preserve"> </w:t>
      </w:r>
      <w:r w:rsidR="000075CF">
        <w:rPr>
          <w:rFonts w:ascii="Times New Roman" w:hAnsi="Times New Roman" w:cs="Times New Roman"/>
          <w:i/>
          <w:sz w:val="17"/>
          <w:szCs w:val="17"/>
          <w:lang w:val="de-DE"/>
        </w:rPr>
        <w:t>nach verschiedenen Zeitpunkten</w:t>
      </w:r>
    </w:p>
    <w:p w14:paraId="265DAD14" w14:textId="534B8FB6" w:rsidR="009E1464" w:rsidRPr="00887AF4" w:rsidRDefault="009E1464" w:rsidP="00FC28CF">
      <w:pPr>
        <w:spacing w:after="240" w:line="0" w:lineRule="atLeast"/>
        <w:jc w:val="both"/>
        <w:rPr>
          <w:rFonts w:ascii="Times New Roman" w:hAnsi="Times New Roman" w:cs="Times New Roman"/>
          <w:iCs/>
          <w:sz w:val="20"/>
          <w:szCs w:val="20"/>
          <w:lang w:val="de-DE"/>
        </w:rPr>
      </w:pPr>
      <w:r>
        <w:rPr>
          <w:noProof/>
        </w:rPr>
        <w:drawing>
          <wp:inline distT="0" distB="0" distL="0" distR="0" wp14:anchorId="5AC7DAED" wp14:editId="01FC9E25">
            <wp:extent cx="2823634" cy="1882423"/>
            <wp:effectExtent l="0" t="0" r="0" b="381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69" cy="188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D8E9" w14:textId="2953DB61" w:rsidR="00264E55" w:rsidRPr="003550BD" w:rsidRDefault="00264E55" w:rsidP="00264E55">
      <w:pPr>
        <w:spacing w:after="240" w:line="0" w:lineRule="atLeast"/>
        <w:jc w:val="both"/>
        <w:rPr>
          <w:rFonts w:ascii="Times New Roman" w:hAnsi="Times New Roman" w:cs="Times New Roman"/>
          <w:i/>
          <w:sz w:val="17"/>
          <w:szCs w:val="17"/>
          <w:lang w:val="de-DE"/>
        </w:rPr>
      </w:pPr>
      <w:r w:rsidRPr="009D3B29">
        <w:rPr>
          <w:rFonts w:ascii="Times New Roman" w:hAnsi="Times New Roman" w:cs="Times New Roman"/>
          <w:i/>
          <w:sz w:val="17"/>
          <w:szCs w:val="17"/>
          <w:lang w:val="de-DE"/>
        </w:rPr>
        <w:t>Abbildung 3: Integral</w:t>
      </w:r>
      <w:r w:rsidR="008A0025">
        <w:rPr>
          <w:rFonts w:ascii="Times New Roman" w:hAnsi="Times New Roman" w:cs="Times New Roman"/>
          <w:i/>
          <w:sz w:val="17"/>
          <w:szCs w:val="17"/>
          <w:lang w:val="de-DE"/>
        </w:rPr>
        <w:t>kurve</w:t>
      </w:r>
      <w:r w:rsidR="009D3B29" w:rsidRPr="009D3B29">
        <w:rPr>
          <w:rFonts w:ascii="Times New Roman" w:hAnsi="Times New Roman" w:cs="Times New Roman"/>
          <w:i/>
          <w:sz w:val="17"/>
          <w:szCs w:val="17"/>
          <w:lang w:val="de-DE"/>
        </w:rPr>
        <w:t xml:space="preserve"> für definierte Wellenzahlbereiche (blau) und daraus normierte Vernetzungskurve (rot)</w:t>
      </w:r>
    </w:p>
    <w:p w14:paraId="29FDFDDD" w14:textId="59C514B8" w:rsidR="00FC28CF" w:rsidRPr="005E1D30" w:rsidRDefault="00D52910" w:rsidP="00FC28CF">
      <w:pPr>
        <w:spacing w:after="240" w:line="0" w:lineRule="atLeast"/>
        <w:jc w:val="both"/>
        <w:rPr>
          <w:rFonts w:ascii="Times New Roman" w:hAnsi="Times New Roman" w:cs="Times New Roman"/>
          <w:sz w:val="20"/>
          <w:szCs w:val="20"/>
          <w:lang w:val="de-DE"/>
        </w:rPr>
      </w:pPr>
      <w:r>
        <w:rPr>
          <w:rFonts w:ascii="Times New Roman" w:hAnsi="Times New Roman" w:cs="Times New Roman"/>
          <w:sz w:val="20"/>
          <w:szCs w:val="20"/>
          <w:lang w:val="de-DE"/>
        </w:rPr>
        <w:t>4</w:t>
      </w:r>
      <w:r w:rsidR="00FC28CF" w:rsidRPr="005E1D30">
        <w:rPr>
          <w:rFonts w:ascii="Times New Roman" w:hAnsi="Times New Roman" w:cs="Times New Roman"/>
          <w:sz w:val="20"/>
          <w:szCs w:val="20"/>
          <w:lang w:val="de-DE"/>
        </w:rPr>
        <w:t>.3. Vergleich mit der dielektrischen Analyse</w:t>
      </w:r>
    </w:p>
    <w:p w14:paraId="797F5212" w14:textId="323CFF0E" w:rsidR="004D7D0D" w:rsidRDefault="0072115A" w:rsidP="003B52D4">
      <w:pPr>
        <w:spacing w:after="240" w:line="0" w:lineRule="atLeast"/>
        <w:jc w:val="both"/>
        <w:rPr>
          <w:rFonts w:ascii="Times New Roman" w:hAnsi="Times New Roman" w:cs="Times New Roman"/>
          <w:iCs/>
          <w:sz w:val="20"/>
          <w:szCs w:val="20"/>
          <w:lang w:val="de-DE"/>
        </w:rPr>
      </w:pPr>
      <w:r>
        <w:rPr>
          <w:rFonts w:ascii="Times New Roman" w:hAnsi="Times New Roman" w:cs="Times New Roman"/>
          <w:iCs/>
          <w:sz w:val="20"/>
          <w:szCs w:val="20"/>
          <w:lang w:val="de-DE"/>
        </w:rPr>
        <w:t xml:space="preserve">In den letzten Jahren hat sich für die in-situ Messung der Vernetzung vor allem die </w:t>
      </w:r>
      <w:r w:rsidR="00BC5BCF">
        <w:rPr>
          <w:rFonts w:ascii="Times New Roman" w:hAnsi="Times New Roman" w:cs="Times New Roman"/>
          <w:iCs/>
          <w:sz w:val="20"/>
          <w:szCs w:val="20"/>
          <w:lang w:val="de-DE"/>
        </w:rPr>
        <w:t>DEA</w:t>
      </w:r>
      <w:r>
        <w:rPr>
          <w:rFonts w:ascii="Times New Roman" w:hAnsi="Times New Roman" w:cs="Times New Roman"/>
          <w:iCs/>
          <w:sz w:val="20"/>
          <w:szCs w:val="20"/>
          <w:lang w:val="de-DE"/>
        </w:rPr>
        <w:t xml:space="preserve"> etabliert</w:t>
      </w:r>
      <w:r w:rsidR="00805973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, wobei der zeitliche Verlauf der Vernetzung über eine Normierung des dielektrischen Signals </w:t>
      </w:r>
      <w:proofErr w:type="gramStart"/>
      <w:r w:rsidR="00805973">
        <w:rPr>
          <w:rFonts w:ascii="Times New Roman" w:hAnsi="Times New Roman" w:cs="Times New Roman"/>
          <w:iCs/>
          <w:sz w:val="20"/>
          <w:szCs w:val="20"/>
          <w:lang w:val="de-DE"/>
        </w:rPr>
        <w:t>ermittelt werden kann</w:t>
      </w:r>
      <w:proofErr w:type="gramEnd"/>
      <w:r w:rsidR="00805973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 </w:t>
      </w:r>
      <w:r w:rsidR="00805973">
        <w:rPr>
          <w:rFonts w:ascii="Times New Roman" w:hAnsi="Times New Roman" w:cs="Times New Roman"/>
          <w:iCs/>
          <w:sz w:val="20"/>
          <w:szCs w:val="20"/>
          <w:lang w:val="de-DE"/>
        </w:rPr>
        <w:fldChar w:fldCharType="begin"/>
      </w:r>
      <w:r w:rsidR="00805973">
        <w:rPr>
          <w:rFonts w:ascii="Times New Roman" w:hAnsi="Times New Roman" w:cs="Times New Roman"/>
          <w:iCs/>
          <w:sz w:val="20"/>
          <w:szCs w:val="20"/>
          <w:lang w:val="de-DE"/>
        </w:rPr>
        <w:instrText xml:space="preserve"> REF _Ref158207817 \r \h </w:instrText>
      </w:r>
      <w:r w:rsidR="00805973">
        <w:rPr>
          <w:rFonts w:ascii="Times New Roman" w:hAnsi="Times New Roman" w:cs="Times New Roman"/>
          <w:iCs/>
          <w:sz w:val="20"/>
          <w:szCs w:val="20"/>
          <w:lang w:val="de-DE"/>
        </w:rPr>
      </w:r>
      <w:r w:rsidR="00805973">
        <w:rPr>
          <w:rFonts w:ascii="Times New Roman" w:hAnsi="Times New Roman" w:cs="Times New Roman"/>
          <w:iCs/>
          <w:sz w:val="20"/>
          <w:szCs w:val="20"/>
          <w:lang w:val="de-DE"/>
        </w:rPr>
        <w:fldChar w:fldCharType="separate"/>
      </w:r>
      <w:r w:rsidR="00E23353">
        <w:rPr>
          <w:rFonts w:ascii="Times New Roman" w:hAnsi="Times New Roman" w:cs="Times New Roman"/>
          <w:iCs/>
          <w:sz w:val="20"/>
          <w:szCs w:val="20"/>
          <w:lang w:val="de-DE"/>
        </w:rPr>
        <w:t>[6]</w:t>
      </w:r>
      <w:r w:rsidR="00805973">
        <w:rPr>
          <w:rFonts w:ascii="Times New Roman" w:hAnsi="Times New Roman" w:cs="Times New Roman"/>
          <w:iCs/>
          <w:sz w:val="20"/>
          <w:szCs w:val="20"/>
          <w:lang w:val="de-DE"/>
        </w:rPr>
        <w:fldChar w:fldCharType="end"/>
      </w:r>
      <w:r w:rsidR="00805973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. 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Abbildung </w:t>
      </w:r>
      <w:r w:rsidR="00DE1328">
        <w:rPr>
          <w:rFonts w:ascii="Times New Roman" w:hAnsi="Times New Roman" w:cs="Times New Roman"/>
          <w:iCs/>
          <w:sz w:val="20"/>
          <w:szCs w:val="20"/>
          <w:lang w:val="de-DE"/>
        </w:rPr>
        <w:t>4</w:t>
      </w:r>
      <w:r w:rsidR="006C3D6C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 zeigt die Vernetzung 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des EMC </w:t>
      </w:r>
      <w:r w:rsidR="006C3D6C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ausgewertet mit der </w:t>
      </w:r>
      <w:r w:rsidR="00BC5BCF">
        <w:rPr>
          <w:rFonts w:ascii="Times New Roman" w:hAnsi="Times New Roman" w:cs="Times New Roman"/>
          <w:iCs/>
          <w:sz w:val="20"/>
          <w:szCs w:val="20"/>
          <w:lang w:val="de-DE"/>
        </w:rPr>
        <w:t>DEA</w:t>
      </w:r>
      <w:r w:rsidR="006C3D6C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 (blau) und anhand des FT-IR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>-</w:t>
      </w:r>
      <w:r w:rsidR="006C3D6C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Sensors (rot) über der Zeit. 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>Der FT-IR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>-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Sensor weist den ersten Messpunkt bei einer Zykluszeit von 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>21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 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>s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 auf, während die DEA erst ab einer Zykluszeit von 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>37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 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>s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 messfähig ist. Beide Vernetzungskurven steigen folglich mit der Zeit an, bis schließlich ein Plateau erreicht wird. Die Vernetzung gemessen mit dem FT-IR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>-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Sensor ist zu Beginn höher im Vergleich zur </w:t>
      </w:r>
      <w:r w:rsidR="00BC5BCF">
        <w:rPr>
          <w:rFonts w:ascii="Times New Roman" w:hAnsi="Times New Roman" w:cs="Times New Roman"/>
          <w:iCs/>
          <w:sz w:val="20"/>
          <w:szCs w:val="20"/>
          <w:lang w:val="de-DE"/>
        </w:rPr>
        <w:t>DEA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. 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Die Erfassung der niedrigen Vernetzungsgrade scheint mit dem FT-IR-Sensor genauer zu sein, da anhand des Messprinzips rein chemische Änderungen gemessen werden und das Signal im Vergleich zur </w:t>
      </w:r>
      <w:r w:rsidR="00BC5BCF">
        <w:rPr>
          <w:rFonts w:ascii="Times New Roman" w:hAnsi="Times New Roman" w:cs="Times New Roman"/>
          <w:iCs/>
          <w:sz w:val="20"/>
          <w:szCs w:val="20"/>
          <w:lang w:val="de-DE"/>
        </w:rPr>
        <w:t>DEA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 nicht durch Aufschmelzeffekte beeinflusst wird. 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Bei einer Zykluszeit von 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>82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 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>s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 schneidet die Vernetzungskurve der </w:t>
      </w:r>
      <w:r w:rsidR="00BC5BCF">
        <w:rPr>
          <w:rFonts w:ascii="Times New Roman" w:hAnsi="Times New Roman" w:cs="Times New Roman"/>
          <w:iCs/>
          <w:sz w:val="20"/>
          <w:szCs w:val="20"/>
          <w:lang w:val="de-DE"/>
        </w:rPr>
        <w:t>DEA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 schließlich die Vernetzungskurve des FT-IR Signals, bevor die dielektrische Kurve bei einer Zykluszeit von ca. 2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>55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 s das Plateau erreicht. Hier zeigt die Vernetzung ausgewertet anhand des Infrarotsignals lediglich einen Vernetzungsgrad von 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>84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> %. Der Infrarotsensor zeigt weiterhin Änderungen im Vernetzungsgrad bis zu einer Zykluszeit von 450 s. Dies deutet darauf hin, dass mit dem FT-IR</w:t>
      </w:r>
      <w:r w:rsidR="000075CF">
        <w:rPr>
          <w:rFonts w:ascii="Times New Roman" w:hAnsi="Times New Roman" w:cs="Times New Roman"/>
          <w:iCs/>
          <w:sz w:val="20"/>
          <w:szCs w:val="20"/>
          <w:lang w:val="de-DE"/>
        </w:rPr>
        <w:t>-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Sensor chemische Änderungen in den hohen Vernetzungsgraden erfasst werden können, die mit der </w:t>
      </w:r>
      <w:r w:rsidR="00BC5BCF">
        <w:rPr>
          <w:rFonts w:ascii="Times New Roman" w:hAnsi="Times New Roman" w:cs="Times New Roman"/>
          <w:iCs/>
          <w:sz w:val="20"/>
          <w:szCs w:val="20"/>
          <w:lang w:val="de-DE"/>
        </w:rPr>
        <w:t>DEA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 nicht </w:t>
      </w:r>
      <w:r w:rsidR="00FA6D88">
        <w:rPr>
          <w:rFonts w:ascii="Times New Roman" w:hAnsi="Times New Roman" w:cs="Times New Roman"/>
          <w:iCs/>
          <w:sz w:val="20"/>
          <w:szCs w:val="20"/>
          <w:lang w:val="de-DE"/>
        </w:rPr>
        <w:t>aufzulösen sind</w:t>
      </w:r>
      <w:r w:rsidR="004D7D0D">
        <w:rPr>
          <w:rFonts w:ascii="Times New Roman" w:hAnsi="Times New Roman" w:cs="Times New Roman"/>
          <w:iCs/>
          <w:sz w:val="20"/>
          <w:szCs w:val="20"/>
          <w:lang w:val="de-DE"/>
        </w:rPr>
        <w:t xml:space="preserve">. </w:t>
      </w:r>
    </w:p>
    <w:p w14:paraId="4F789055" w14:textId="3D23B859" w:rsidR="009E1464" w:rsidRPr="005E1D30" w:rsidRDefault="009E1464" w:rsidP="007261DB">
      <w:pPr>
        <w:pStyle w:val="Textkrper"/>
        <w:spacing w:line="240" w:lineRule="auto"/>
      </w:pPr>
      <w:r>
        <w:rPr>
          <w:noProof/>
        </w:rPr>
        <w:drawing>
          <wp:inline distT="0" distB="0" distL="0" distR="0" wp14:anchorId="1E640F4B" wp14:editId="7BDE476F">
            <wp:extent cx="2544992" cy="1696661"/>
            <wp:effectExtent l="0" t="0" r="8255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016" cy="170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B93DC" w14:textId="0DA8AE76" w:rsidR="007261DB" w:rsidRPr="005E1D30" w:rsidRDefault="007261DB" w:rsidP="007261DB">
      <w:pPr>
        <w:spacing w:after="240" w:line="0" w:lineRule="atLeast"/>
        <w:jc w:val="both"/>
        <w:rPr>
          <w:rFonts w:ascii="Times New Roman" w:hAnsi="Times New Roman" w:cs="Times New Roman"/>
          <w:i/>
          <w:sz w:val="17"/>
          <w:szCs w:val="17"/>
          <w:lang w:val="de-DE"/>
        </w:rPr>
      </w:pPr>
      <w:r w:rsidRPr="005E1D30">
        <w:rPr>
          <w:rFonts w:ascii="Times New Roman" w:hAnsi="Times New Roman" w:cs="Times New Roman"/>
          <w:i/>
          <w:sz w:val="17"/>
          <w:szCs w:val="17"/>
          <w:lang w:val="de-DE"/>
        </w:rPr>
        <w:t xml:space="preserve">Abbildung </w:t>
      </w:r>
      <w:r w:rsidR="00DE1328">
        <w:rPr>
          <w:rFonts w:ascii="Times New Roman" w:hAnsi="Times New Roman" w:cs="Times New Roman"/>
          <w:i/>
          <w:sz w:val="17"/>
          <w:szCs w:val="17"/>
          <w:lang w:val="de-DE"/>
        </w:rPr>
        <w:t>4</w:t>
      </w:r>
      <w:r w:rsidRPr="005E1D30">
        <w:rPr>
          <w:rFonts w:ascii="Times New Roman" w:hAnsi="Times New Roman" w:cs="Times New Roman"/>
          <w:i/>
          <w:sz w:val="17"/>
          <w:szCs w:val="17"/>
          <w:lang w:val="de-DE"/>
        </w:rPr>
        <w:t>: Ausgewertete</w:t>
      </w:r>
      <w:r w:rsidR="003550BD">
        <w:rPr>
          <w:rFonts w:ascii="Times New Roman" w:hAnsi="Times New Roman" w:cs="Times New Roman"/>
          <w:i/>
          <w:sz w:val="17"/>
          <w:szCs w:val="17"/>
          <w:lang w:val="de-DE"/>
        </w:rPr>
        <w:t xml:space="preserve"> zeitliche Änderung des</w:t>
      </w:r>
      <w:r w:rsidRPr="005E1D30">
        <w:rPr>
          <w:rFonts w:ascii="Times New Roman" w:hAnsi="Times New Roman" w:cs="Times New Roman"/>
          <w:i/>
          <w:sz w:val="17"/>
          <w:szCs w:val="17"/>
          <w:lang w:val="de-DE"/>
        </w:rPr>
        <w:t xml:space="preserve"> Vernetzungsgrad</w:t>
      </w:r>
      <w:r w:rsidR="000075CF">
        <w:rPr>
          <w:rFonts w:ascii="Times New Roman" w:hAnsi="Times New Roman" w:cs="Times New Roman"/>
          <w:i/>
          <w:sz w:val="17"/>
          <w:szCs w:val="17"/>
          <w:lang w:val="de-DE"/>
        </w:rPr>
        <w:t>e</w:t>
      </w:r>
      <w:r w:rsidR="003550BD">
        <w:rPr>
          <w:rFonts w:ascii="Times New Roman" w:hAnsi="Times New Roman" w:cs="Times New Roman"/>
          <w:i/>
          <w:sz w:val="17"/>
          <w:szCs w:val="17"/>
          <w:lang w:val="de-DE"/>
        </w:rPr>
        <w:t>s</w:t>
      </w:r>
      <w:r w:rsidRPr="005E1D30">
        <w:rPr>
          <w:rFonts w:ascii="Times New Roman" w:hAnsi="Times New Roman" w:cs="Times New Roman"/>
          <w:i/>
          <w:sz w:val="17"/>
          <w:szCs w:val="17"/>
          <w:lang w:val="de-DE"/>
        </w:rPr>
        <w:t xml:space="preserve"> des </w:t>
      </w:r>
      <w:r w:rsidR="003550BD">
        <w:rPr>
          <w:rFonts w:ascii="Times New Roman" w:hAnsi="Times New Roman" w:cs="Times New Roman"/>
          <w:i/>
          <w:sz w:val="17"/>
          <w:szCs w:val="17"/>
          <w:lang w:val="de-DE"/>
        </w:rPr>
        <w:t>EMC</w:t>
      </w:r>
      <w:r w:rsidRPr="005E1D30">
        <w:rPr>
          <w:rFonts w:ascii="Times New Roman" w:hAnsi="Times New Roman" w:cs="Times New Roman"/>
          <w:i/>
          <w:sz w:val="17"/>
          <w:szCs w:val="17"/>
          <w:lang w:val="de-DE"/>
        </w:rPr>
        <w:t xml:space="preserve"> mit DEA (blau) und FT-IR (rot)</w:t>
      </w:r>
    </w:p>
    <w:p w14:paraId="43048458" w14:textId="28FFC79B" w:rsidR="00CD1457" w:rsidRPr="005E1D30" w:rsidRDefault="00CD1457" w:rsidP="00CD1457">
      <w:pPr>
        <w:pStyle w:val="Listenabsatz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b/>
          <w:sz w:val="20"/>
          <w:szCs w:val="20"/>
          <w:lang w:val="de-DE"/>
        </w:rPr>
      </w:pPr>
      <w:r w:rsidRPr="005E1D30">
        <w:rPr>
          <w:rFonts w:ascii="Times New Roman" w:hAnsi="Times New Roman" w:cs="Times New Roman"/>
          <w:b/>
          <w:sz w:val="20"/>
          <w:szCs w:val="20"/>
          <w:lang w:val="de-DE"/>
        </w:rPr>
        <w:t>Zusammenfassung und Ausblick</w:t>
      </w:r>
    </w:p>
    <w:p w14:paraId="7739708F" w14:textId="4A3A5502" w:rsidR="00554B62" w:rsidRDefault="008C08FD" w:rsidP="000D42D6">
      <w:pPr>
        <w:pStyle w:val="Textkrper"/>
        <w:spacing w:line="240" w:lineRule="auto"/>
        <w:rPr>
          <w:color w:val="000000" w:themeColor="text1"/>
        </w:rPr>
      </w:pPr>
      <w:r w:rsidRPr="005E1D30">
        <w:lastRenderedPageBreak/>
        <w:t xml:space="preserve">Das vorgestellte Verfahren bietet eine neue Methode zur in-situ Überwachung der chemischen Vernetzung von Epoxidharzen in Verkapselungsprozessen anhand von im Prozess gemessenen Infrarotspektren. Über die Berechnung von Integralen relevanter Wellenzahlbereiche der Infrarotspektren pro Zeitschritt wird eine Integral- über Zeitkurve ermittelt, die repräsentativ für chemische </w:t>
      </w:r>
      <w:r w:rsidR="00D37FD9">
        <w:t>Verä</w:t>
      </w:r>
      <w:r w:rsidRPr="005E1D30">
        <w:t xml:space="preserve">nderungen im Prozess steht. Eine anschließende Normierung der </w:t>
      </w:r>
      <w:r w:rsidR="0072115A">
        <w:t>Integralk</w:t>
      </w:r>
      <w:r w:rsidRPr="005E1D30">
        <w:t xml:space="preserve">urve </w:t>
      </w:r>
      <w:r w:rsidR="0072115A">
        <w:t>führt zur</w:t>
      </w:r>
      <w:r w:rsidRPr="005E1D30">
        <w:t xml:space="preserve"> Vernetzungskurve, die verglichen mit der konventionellen </w:t>
      </w:r>
      <w:r w:rsidR="00BC5BCF">
        <w:t>DEA</w:t>
      </w:r>
      <w:r w:rsidRPr="005E1D30">
        <w:t xml:space="preserve"> die Vernetzung des Epoxidharzes </w:t>
      </w:r>
      <w:r w:rsidR="00554B62">
        <w:t>vermeintlich</w:t>
      </w:r>
      <w:r w:rsidRPr="005E1D30">
        <w:t xml:space="preserve"> sensitiver auflösen kann. Es sind vor allem in hohen Vernetzungsgraden Änderungen in der Vernetzung messbar, die mit der </w:t>
      </w:r>
      <w:r w:rsidR="00BC5BCF">
        <w:t>DEA</w:t>
      </w:r>
      <w:r w:rsidRPr="005E1D30">
        <w:t xml:space="preserve"> nicht aufgelöst werden können. </w:t>
      </w:r>
      <w:r w:rsidR="00554B62" w:rsidRPr="005E1D30">
        <w:rPr>
          <w:color w:val="000000" w:themeColor="text1"/>
        </w:rPr>
        <w:t>Dies bietet nicht nur die Möglichkeit für eine Optimierung des Prozesses, sondern auch der Detektion einzelner chemischer Reaktionen als Teilprozesse des gesamten Vernetzungsprozesses während des Verkapselungsvorgangs.</w:t>
      </w:r>
    </w:p>
    <w:p w14:paraId="558BF1AF" w14:textId="017B80E3" w:rsidR="007261DB" w:rsidRPr="005E1D30" w:rsidRDefault="007261DB" w:rsidP="007261DB">
      <w:pPr>
        <w:pStyle w:val="Listenabsatz"/>
        <w:numPr>
          <w:ilvl w:val="0"/>
          <w:numId w:val="2"/>
        </w:numPr>
        <w:spacing w:line="0" w:lineRule="atLeast"/>
        <w:jc w:val="both"/>
        <w:rPr>
          <w:rFonts w:ascii="Times New Roman" w:hAnsi="Times New Roman" w:cs="Times New Roman"/>
          <w:b/>
          <w:sz w:val="20"/>
          <w:szCs w:val="20"/>
          <w:lang w:val="de-DE"/>
        </w:rPr>
      </w:pPr>
      <w:r w:rsidRPr="005E1D30">
        <w:rPr>
          <w:rFonts w:ascii="Times New Roman" w:hAnsi="Times New Roman" w:cs="Times New Roman"/>
          <w:b/>
          <w:sz w:val="20"/>
          <w:szCs w:val="20"/>
          <w:lang w:val="de-DE"/>
        </w:rPr>
        <w:t>Literatur</w:t>
      </w:r>
    </w:p>
    <w:p w14:paraId="1896DA66" w14:textId="77777777" w:rsidR="00D54443" w:rsidRPr="005A15E9" w:rsidRDefault="00D54443" w:rsidP="00D54443">
      <w:pPr>
        <w:pStyle w:val="references"/>
      </w:pPr>
      <w:bookmarkStart w:id="1" w:name="_Ref158275479"/>
      <w:r w:rsidRPr="005A15E9">
        <w:t>Sasajima, H.; Watanabe, I.; Takamoto, M.; Dakede, K.; Itoh, S.; Nishitani, Y.; Tabei, J.; Mori, T., New Development of Epoxy Molding Compound for Encapsulating Semiconductor Chips, Springer, 2009.</w:t>
      </w:r>
      <w:bookmarkEnd w:id="1"/>
      <w:r w:rsidRPr="005A15E9">
        <w:t xml:space="preserve"> </w:t>
      </w:r>
    </w:p>
    <w:p w14:paraId="6E452DA1" w14:textId="77777777" w:rsidR="00D54443" w:rsidRPr="005A15E9" w:rsidRDefault="00D54443" w:rsidP="00D54443">
      <w:pPr>
        <w:pStyle w:val="references"/>
      </w:pPr>
      <w:bookmarkStart w:id="2" w:name="_Ref157160628"/>
      <w:r w:rsidRPr="005A15E9">
        <w:t>Komori, S.; Sakamoto, Y., Development Trend of Epoxy Molding Compound for Encapsulation Semiconductor Chips, Springer, 2009.</w:t>
      </w:r>
      <w:bookmarkEnd w:id="2"/>
    </w:p>
    <w:p w14:paraId="6EF46AA1" w14:textId="77777777" w:rsidR="00D54443" w:rsidRPr="005A15E9" w:rsidRDefault="00D54443" w:rsidP="00D54443">
      <w:pPr>
        <w:pStyle w:val="references"/>
      </w:pPr>
      <w:bookmarkStart w:id="3" w:name="_Ref157160635"/>
      <w:r w:rsidRPr="005A15E9">
        <w:t xml:space="preserve">Kaya, B.; Kaiser, J.; Becker, K.; Braun, T.; Lang, K., Evaluation of the Dielectric Cure Monitoring of Epoxy Molding Compound in Transfer Molding Process for Electronic Packages, in IEEE Proceedings of the European Microelectronics Packaging Conference (EMPC), Friedrichshafen, </w:t>
      </w:r>
      <w:r>
        <w:t>Deutschland</w:t>
      </w:r>
      <w:r w:rsidRPr="005A15E9">
        <w:t>, 14-16 September 2015.</w:t>
      </w:r>
      <w:bookmarkEnd w:id="3"/>
    </w:p>
    <w:p w14:paraId="31AB871E" w14:textId="77777777" w:rsidR="00D54443" w:rsidRDefault="00D54443" w:rsidP="00D54443">
      <w:pPr>
        <w:pStyle w:val="references"/>
      </w:pPr>
      <w:bookmarkStart w:id="4" w:name="_Ref157166680"/>
      <w:bookmarkStart w:id="5" w:name="_Ref158207637"/>
      <w:r w:rsidRPr="00D52910">
        <w:t>Krahnbühl, D.; Hood, D.; Rogozinski, J.; Mey</w:t>
      </w:r>
      <w:r>
        <w:t xml:space="preserve">er, A.; Neag, M., </w:t>
      </w:r>
      <w:r w:rsidRPr="00D52910">
        <w:t>Monitoring the changing state of a polymeric coating resin during synthesis, cure and use,</w:t>
      </w:r>
      <w:r>
        <w:t xml:space="preserve"> </w:t>
      </w:r>
      <w:r w:rsidRPr="00D52910">
        <w:t>Progress in Organic Coatings, Bd. 35, Nr. 1-4, S. 101-107, August 1999</w:t>
      </w:r>
      <w:r>
        <w:t>.</w:t>
      </w:r>
    </w:p>
    <w:p w14:paraId="1C6B61A4" w14:textId="77777777" w:rsidR="00D54443" w:rsidRDefault="00D54443" w:rsidP="00D54443">
      <w:pPr>
        <w:pStyle w:val="references"/>
      </w:pPr>
      <w:bookmarkStart w:id="6" w:name="_Ref158208172"/>
      <w:r w:rsidRPr="00554B62">
        <w:t>Gerami, G.; Bagheri, R.; Darvishi, R, Investigation of isothermal and dynamic cure kinetics of epoxy resin/nadic methyl anhydride/dicyandiamide by differential scanning calorimetry (DSC)</w:t>
      </w:r>
      <w:r>
        <w:t xml:space="preserve">, </w:t>
      </w:r>
      <w:r w:rsidRPr="00554B62">
        <w:t>Journal of Thermal Analysis and Calorimetry, Bd. 137, S. 575-582, 2019.</w:t>
      </w:r>
    </w:p>
    <w:p w14:paraId="7A17D054" w14:textId="77777777" w:rsidR="00D54443" w:rsidRDefault="00D54443" w:rsidP="00D54443">
      <w:pPr>
        <w:pStyle w:val="references"/>
      </w:pPr>
      <w:bookmarkStart w:id="7" w:name="_Ref158207817"/>
      <w:bookmarkStart w:id="8" w:name="_Ref158208832"/>
      <w:r w:rsidRPr="005A15E9">
        <w:rPr>
          <w:lang w:val="de-DE"/>
        </w:rPr>
        <w:t xml:space="preserve">Franieck, E.; Fleischmann, M.; Hölck. </w:t>
      </w:r>
      <w:r w:rsidRPr="005A15E9">
        <w:t xml:space="preserve">O.; Kutuzova, L.; Kandelbauer, A., Cure Kinetics Modeling of a High Glass Transition Temperature Epoxy Molding Compound (EMC) Based on Inline Dielectric Analysis, Polymers, </w:t>
      </w:r>
      <w:r>
        <w:t>Bd</w:t>
      </w:r>
      <w:r w:rsidRPr="005A15E9">
        <w:t xml:space="preserve">. 13, </w:t>
      </w:r>
      <w:r>
        <w:t>Nr</w:t>
      </w:r>
      <w:r w:rsidRPr="005A15E9">
        <w:t xml:space="preserve"> 11, 1734, 26. Mai 2021.</w:t>
      </w:r>
      <w:bookmarkEnd w:id="7"/>
    </w:p>
    <w:p w14:paraId="7EA0109C" w14:textId="77777777" w:rsidR="00D54443" w:rsidRPr="00554B62" w:rsidRDefault="00D54443" w:rsidP="00D54443">
      <w:pPr>
        <w:pStyle w:val="references"/>
      </w:pPr>
      <w:bookmarkStart w:id="9" w:name="_Ref158208840"/>
      <w:bookmarkEnd w:id="8"/>
      <w:r w:rsidRPr="00554B62">
        <w:t>Lee,</w:t>
      </w:r>
      <w:r>
        <w:t xml:space="preserve"> H.,</w:t>
      </w:r>
      <w:r w:rsidRPr="00554B62">
        <w:t xml:space="preserve"> The Handbook of Dielectric Analysis and Cure Monitoring, Lambient Technologies LLC, Cambridge, USA, 2017.</w:t>
      </w:r>
    </w:p>
    <w:p w14:paraId="5DAA38AA" w14:textId="77777777" w:rsidR="00D54443" w:rsidRDefault="00D54443" w:rsidP="00D54443">
      <w:pPr>
        <w:pStyle w:val="references"/>
        <w:ind w:left="354" w:hanging="354"/>
      </w:pPr>
      <w:bookmarkStart w:id="10" w:name="_Ref157166436"/>
      <w:bookmarkStart w:id="11" w:name="_Ref157167566"/>
      <w:bookmarkEnd w:id="4"/>
      <w:bookmarkEnd w:id="5"/>
      <w:bookmarkEnd w:id="6"/>
      <w:bookmarkEnd w:id="9"/>
      <w:bookmarkEnd w:id="10"/>
      <w:r w:rsidRPr="005A15E9">
        <w:t xml:space="preserve">Niegisch, C.; Haag, S.; Braun, T.; Hölck, O., Schneider-Ramelow, M., In-situ infrared spectroscopy for chemical analysis in electronic packaging processes, In IEEE Proceedings of the 9th Electronics Systems-Integration Technology Conference (ESTC), Sibiu, </w:t>
      </w:r>
      <w:r>
        <w:t>Rumänien</w:t>
      </w:r>
      <w:r w:rsidRPr="005A15E9">
        <w:t>, 13-16 September 2022.</w:t>
      </w:r>
      <w:bookmarkEnd w:id="11"/>
    </w:p>
    <w:p w14:paraId="664CC5AB" w14:textId="77777777" w:rsidR="00D54443" w:rsidRDefault="00D54443" w:rsidP="00D54443">
      <w:pPr>
        <w:pStyle w:val="references"/>
      </w:pPr>
      <w:bookmarkStart w:id="12" w:name="_Ref158209110"/>
      <w:r w:rsidRPr="00554B62">
        <w:rPr>
          <w:lang w:val="de-DE"/>
        </w:rPr>
        <w:t xml:space="preserve">Bienz, S.; Bigler, L.; Fox, T.; Maier, H., Spektroskopische Methoden in der organischen Chemie, 9. Aufl. Stuttgart: Georg Thieme Verlag, </w:t>
      </w:r>
      <w:r>
        <w:t>2016.</w:t>
      </w:r>
      <w:bookmarkEnd w:id="12"/>
    </w:p>
    <w:p w14:paraId="2A483140" w14:textId="77777777" w:rsidR="00D54443" w:rsidRDefault="00D54443" w:rsidP="00D54443">
      <w:pPr>
        <w:pStyle w:val="references"/>
      </w:pPr>
      <w:bookmarkStart w:id="13" w:name="_Ref158209410"/>
      <w:r>
        <w:t>Cholake, S.; Mada, M.; Raman, R.K.; Bai, Y.; Zhao, XL; Rizkalla, S.; Brandyopadhyay, S., Quantitative analysis of curing mechanisms of epoxy resin by Mid- and ear-Fourier Transform Infra Red Spectroscopy, Def. Sci. Journal, Bd. 64, Nr. 3, S. 314–321, Mai 2014.</w:t>
      </w:r>
      <w:bookmarkEnd w:id="13"/>
    </w:p>
    <w:p w14:paraId="52942426" w14:textId="77777777" w:rsidR="00D54443" w:rsidRDefault="00D54443" w:rsidP="00D54443">
      <w:pPr>
        <w:pStyle w:val="references"/>
      </w:pPr>
      <w:bookmarkStart w:id="14" w:name="_Ref158209413"/>
      <w:r>
        <w:t>Salzmann, M.; Blößl, Y.; Todorovic, A.; Schledjewski, R., Usage of Near-Infrared Spectroscopy for Inline Monitoring the Degree of Curing in RTM Processes, Polymers, Bd. 13, Nr. 18, 3145, S. 1–13, 17. September 2021.</w:t>
      </w:r>
      <w:bookmarkEnd w:id="14"/>
    </w:p>
    <w:p w14:paraId="14266208" w14:textId="4D411BCE" w:rsidR="00554B62" w:rsidRPr="005A15E9" w:rsidRDefault="00D54443" w:rsidP="000A7E00">
      <w:pPr>
        <w:pStyle w:val="references"/>
        <w:ind w:left="354" w:hanging="354"/>
      </w:pPr>
      <w:bookmarkStart w:id="15" w:name="_Ref157166372"/>
      <w:r w:rsidRPr="00D54443">
        <w:rPr>
          <w:lang w:val="de-DE"/>
        </w:rPr>
        <w:t>Schaaf, U.; Kugler, A., Vorrichtung und Verfahren zur Herstellung von mit einer Gießmasse zumindest bereichsweise überdeckten Bauelementen, (DE 10 2017 216 711 A1 2019.03.21). Deutsches Patent- und Markenamt, 2019.</w:t>
      </w:r>
      <w:bookmarkEnd w:id="15"/>
    </w:p>
    <w:sectPr w:rsidR="00554B62" w:rsidRPr="005A15E9" w:rsidSect="000552A7">
      <w:pgSz w:w="12240" w:h="15840"/>
      <w:pgMar w:top="567" w:right="680" w:bottom="567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52718" w14:textId="77777777" w:rsidR="002C264A" w:rsidRDefault="002C264A" w:rsidP="00D13AF1">
      <w:pPr>
        <w:spacing w:after="0" w:line="240" w:lineRule="auto"/>
      </w:pPr>
      <w:r>
        <w:separator/>
      </w:r>
    </w:p>
  </w:endnote>
  <w:endnote w:type="continuationSeparator" w:id="0">
    <w:p w14:paraId="027CD197" w14:textId="77777777" w:rsidR="002C264A" w:rsidRDefault="002C264A" w:rsidP="00D13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2EF64" w14:textId="77777777" w:rsidR="002C264A" w:rsidRDefault="002C264A" w:rsidP="00D13AF1">
      <w:pPr>
        <w:spacing w:after="0" w:line="240" w:lineRule="auto"/>
      </w:pPr>
      <w:r>
        <w:separator/>
      </w:r>
    </w:p>
  </w:footnote>
  <w:footnote w:type="continuationSeparator" w:id="0">
    <w:p w14:paraId="64E20EE3" w14:textId="77777777" w:rsidR="002C264A" w:rsidRDefault="002C264A" w:rsidP="00D13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848AF46"/>
    <w:lvl w:ilvl="0">
      <w:start w:val="5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4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pStyle w:val="berschrift6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berschrift7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pStyle w:val="berschrift8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pStyle w:val="berschrift9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4266E8"/>
    <w:multiLevelType w:val="hybridMultilevel"/>
    <w:tmpl w:val="FBD00078"/>
    <w:lvl w:ilvl="0" w:tplc="E22A21CC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CA544A"/>
    <w:multiLevelType w:val="singleLevel"/>
    <w:tmpl w:val="07405F78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4" w15:restartNumberingAfterBreak="0">
    <w:nsid w:val="56350428"/>
    <w:multiLevelType w:val="hybridMultilevel"/>
    <w:tmpl w:val="82D22D7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751606"/>
    <w:multiLevelType w:val="hybridMultilevel"/>
    <w:tmpl w:val="F24AAABC"/>
    <w:lvl w:ilvl="0" w:tplc="8F1CB86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2B1"/>
    <w:rsid w:val="0000540E"/>
    <w:rsid w:val="000075CF"/>
    <w:rsid w:val="000508D8"/>
    <w:rsid w:val="000522AF"/>
    <w:rsid w:val="000552A7"/>
    <w:rsid w:val="00065ACF"/>
    <w:rsid w:val="000828B5"/>
    <w:rsid w:val="000C5164"/>
    <w:rsid w:val="000D3181"/>
    <w:rsid w:val="000D42D6"/>
    <w:rsid w:val="000D4A5D"/>
    <w:rsid w:val="000E09DA"/>
    <w:rsid w:val="000E2BC3"/>
    <w:rsid w:val="000F3BC7"/>
    <w:rsid w:val="001257D3"/>
    <w:rsid w:val="0014074E"/>
    <w:rsid w:val="00163126"/>
    <w:rsid w:val="00170D73"/>
    <w:rsid w:val="00171D1F"/>
    <w:rsid w:val="001739DD"/>
    <w:rsid w:val="001819A0"/>
    <w:rsid w:val="00184311"/>
    <w:rsid w:val="002005E9"/>
    <w:rsid w:val="00200A16"/>
    <w:rsid w:val="00221850"/>
    <w:rsid w:val="002408E3"/>
    <w:rsid w:val="00250F8F"/>
    <w:rsid w:val="00264E55"/>
    <w:rsid w:val="002929C4"/>
    <w:rsid w:val="002B0746"/>
    <w:rsid w:val="002C264A"/>
    <w:rsid w:val="002D4A87"/>
    <w:rsid w:val="002D5EDA"/>
    <w:rsid w:val="002D64E5"/>
    <w:rsid w:val="002E13FE"/>
    <w:rsid w:val="002F453F"/>
    <w:rsid w:val="00336DE7"/>
    <w:rsid w:val="003550BD"/>
    <w:rsid w:val="00381192"/>
    <w:rsid w:val="0038565A"/>
    <w:rsid w:val="00386543"/>
    <w:rsid w:val="0038681B"/>
    <w:rsid w:val="0039299C"/>
    <w:rsid w:val="00396F05"/>
    <w:rsid w:val="003B09F4"/>
    <w:rsid w:val="003B52D4"/>
    <w:rsid w:val="003B71BC"/>
    <w:rsid w:val="003C3BD2"/>
    <w:rsid w:val="003D3453"/>
    <w:rsid w:val="003D5BB0"/>
    <w:rsid w:val="00400770"/>
    <w:rsid w:val="00404FC2"/>
    <w:rsid w:val="004138EA"/>
    <w:rsid w:val="00445566"/>
    <w:rsid w:val="0047082E"/>
    <w:rsid w:val="00497DF3"/>
    <w:rsid w:val="004A62ED"/>
    <w:rsid w:val="004B5AB8"/>
    <w:rsid w:val="004C4668"/>
    <w:rsid w:val="004D2853"/>
    <w:rsid w:val="004D62B1"/>
    <w:rsid w:val="004D7D0D"/>
    <w:rsid w:val="004E2D47"/>
    <w:rsid w:val="00500214"/>
    <w:rsid w:val="00507AC8"/>
    <w:rsid w:val="005140AB"/>
    <w:rsid w:val="00526A17"/>
    <w:rsid w:val="00532FBB"/>
    <w:rsid w:val="005469E7"/>
    <w:rsid w:val="00554B62"/>
    <w:rsid w:val="00576719"/>
    <w:rsid w:val="005A15E9"/>
    <w:rsid w:val="005B62F5"/>
    <w:rsid w:val="005C1BC8"/>
    <w:rsid w:val="005E0F83"/>
    <w:rsid w:val="005E1D30"/>
    <w:rsid w:val="005F1EF7"/>
    <w:rsid w:val="00626F46"/>
    <w:rsid w:val="0063231F"/>
    <w:rsid w:val="00651AD4"/>
    <w:rsid w:val="006C3D6C"/>
    <w:rsid w:val="006D6672"/>
    <w:rsid w:val="00713DD8"/>
    <w:rsid w:val="0072115A"/>
    <w:rsid w:val="00723BCE"/>
    <w:rsid w:val="007261DB"/>
    <w:rsid w:val="0074014C"/>
    <w:rsid w:val="00781076"/>
    <w:rsid w:val="00783158"/>
    <w:rsid w:val="00796D5B"/>
    <w:rsid w:val="007B7607"/>
    <w:rsid w:val="007E7381"/>
    <w:rsid w:val="00805973"/>
    <w:rsid w:val="008121FD"/>
    <w:rsid w:val="00865206"/>
    <w:rsid w:val="00887AF4"/>
    <w:rsid w:val="008A0025"/>
    <w:rsid w:val="008C08FD"/>
    <w:rsid w:val="008D4659"/>
    <w:rsid w:val="008D573A"/>
    <w:rsid w:val="008F2446"/>
    <w:rsid w:val="00961F3A"/>
    <w:rsid w:val="009859DE"/>
    <w:rsid w:val="00987DBB"/>
    <w:rsid w:val="009978AA"/>
    <w:rsid w:val="009B478D"/>
    <w:rsid w:val="009C2010"/>
    <w:rsid w:val="009D3B29"/>
    <w:rsid w:val="009E0811"/>
    <w:rsid w:val="009E1464"/>
    <w:rsid w:val="00A1001B"/>
    <w:rsid w:val="00A24CC9"/>
    <w:rsid w:val="00A41693"/>
    <w:rsid w:val="00A6681A"/>
    <w:rsid w:val="00A924DA"/>
    <w:rsid w:val="00AA7FA6"/>
    <w:rsid w:val="00B1411D"/>
    <w:rsid w:val="00B65757"/>
    <w:rsid w:val="00B95DC1"/>
    <w:rsid w:val="00BA4A57"/>
    <w:rsid w:val="00BC5BCF"/>
    <w:rsid w:val="00BC688D"/>
    <w:rsid w:val="00C00087"/>
    <w:rsid w:val="00C01E66"/>
    <w:rsid w:val="00C150BE"/>
    <w:rsid w:val="00C4577C"/>
    <w:rsid w:val="00C65AEC"/>
    <w:rsid w:val="00C73FC3"/>
    <w:rsid w:val="00CD1457"/>
    <w:rsid w:val="00CE7674"/>
    <w:rsid w:val="00CF5B5C"/>
    <w:rsid w:val="00D13AF1"/>
    <w:rsid w:val="00D14116"/>
    <w:rsid w:val="00D155CF"/>
    <w:rsid w:val="00D37FD9"/>
    <w:rsid w:val="00D52910"/>
    <w:rsid w:val="00D54443"/>
    <w:rsid w:val="00D64C2F"/>
    <w:rsid w:val="00D72D29"/>
    <w:rsid w:val="00D92050"/>
    <w:rsid w:val="00DA114A"/>
    <w:rsid w:val="00DA5513"/>
    <w:rsid w:val="00DC6AEF"/>
    <w:rsid w:val="00DE1328"/>
    <w:rsid w:val="00DE2402"/>
    <w:rsid w:val="00DE4B4D"/>
    <w:rsid w:val="00DF3082"/>
    <w:rsid w:val="00DF6253"/>
    <w:rsid w:val="00E12F2E"/>
    <w:rsid w:val="00E23353"/>
    <w:rsid w:val="00E57862"/>
    <w:rsid w:val="00E72935"/>
    <w:rsid w:val="00E9370C"/>
    <w:rsid w:val="00EA45A7"/>
    <w:rsid w:val="00EB4CF2"/>
    <w:rsid w:val="00EE1E2C"/>
    <w:rsid w:val="00EF6A1F"/>
    <w:rsid w:val="00F033AF"/>
    <w:rsid w:val="00F73C36"/>
    <w:rsid w:val="00FA53BC"/>
    <w:rsid w:val="00FA6D88"/>
    <w:rsid w:val="00FC28CF"/>
    <w:rsid w:val="00FC4B49"/>
    <w:rsid w:val="00FE2040"/>
    <w:rsid w:val="00FE508B"/>
    <w:rsid w:val="00FF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B57C0"/>
  <w15:chartTrackingRefBased/>
  <w15:docId w15:val="{29BB5FB5-7B2C-4FB3-8E08-4DAD36DB7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Textkrper"/>
    <w:link w:val="berschrift1Zchn"/>
    <w:uiPriority w:val="9"/>
    <w:qFormat/>
    <w:rsid w:val="004D62B1"/>
    <w:pPr>
      <w:keepNext/>
      <w:numPr>
        <w:numId w:val="1"/>
      </w:numPr>
      <w:suppressAutoHyphens/>
      <w:spacing w:before="180" w:after="60" w:line="240" w:lineRule="auto"/>
      <w:outlineLvl w:val="0"/>
    </w:pPr>
    <w:rPr>
      <w:rFonts w:ascii="Times New Roman" w:eastAsia="Times New Roman" w:hAnsi="Times New Roman" w:cs="Times New Roman"/>
      <w:b/>
      <w:kern w:val="1"/>
      <w:sz w:val="24"/>
      <w:szCs w:val="20"/>
      <w:lang w:val="de-DE" w:eastAsia="ar-SA"/>
    </w:rPr>
  </w:style>
  <w:style w:type="paragraph" w:styleId="berschrift2">
    <w:name w:val="heading 2"/>
    <w:basedOn w:val="Standard"/>
    <w:next w:val="Textkrper"/>
    <w:link w:val="berschrift2Zchn"/>
    <w:qFormat/>
    <w:rsid w:val="004D62B1"/>
    <w:pPr>
      <w:keepNext/>
      <w:numPr>
        <w:ilvl w:val="1"/>
        <w:numId w:val="1"/>
      </w:numPr>
      <w:suppressAutoHyphens/>
      <w:spacing w:before="120" w:after="6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de-DE" w:eastAsia="ar-SA"/>
    </w:rPr>
  </w:style>
  <w:style w:type="paragraph" w:styleId="berschrift3">
    <w:name w:val="heading 3"/>
    <w:basedOn w:val="Standard"/>
    <w:next w:val="Textkrper"/>
    <w:link w:val="berschrift3Zchn"/>
    <w:qFormat/>
    <w:rsid w:val="004D62B1"/>
    <w:pPr>
      <w:keepNext/>
      <w:numPr>
        <w:ilvl w:val="2"/>
        <w:numId w:val="1"/>
      </w:numPr>
      <w:suppressAutoHyphens/>
      <w:spacing w:before="60" w:after="60" w:line="240" w:lineRule="atLeast"/>
      <w:outlineLvl w:val="2"/>
    </w:pPr>
    <w:rPr>
      <w:rFonts w:ascii="Times New Roman" w:eastAsia="Times New Roman" w:hAnsi="Times New Roman" w:cs="Times New Roman"/>
      <w:b/>
      <w:sz w:val="20"/>
      <w:szCs w:val="20"/>
      <w:lang w:val="de-DE" w:eastAsia="ar-SA"/>
    </w:rPr>
  </w:style>
  <w:style w:type="paragraph" w:styleId="berschrift4">
    <w:name w:val="heading 4"/>
    <w:basedOn w:val="Standard"/>
    <w:next w:val="Standard"/>
    <w:link w:val="berschrift4Zchn"/>
    <w:qFormat/>
    <w:rsid w:val="004D62B1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Arial" w:eastAsia="Times New Roman" w:hAnsi="Arial" w:cs="Times New Roman"/>
      <w:b/>
      <w:sz w:val="24"/>
      <w:szCs w:val="20"/>
      <w:lang w:val="de-DE" w:eastAsia="ar-SA"/>
    </w:rPr>
  </w:style>
  <w:style w:type="paragraph" w:styleId="berschrift5">
    <w:name w:val="heading 5"/>
    <w:basedOn w:val="Standard"/>
    <w:next w:val="Standard"/>
    <w:link w:val="berschrift5Zchn"/>
    <w:qFormat/>
    <w:rsid w:val="004D62B1"/>
    <w:pPr>
      <w:numPr>
        <w:ilvl w:val="4"/>
        <w:numId w:val="1"/>
      </w:num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szCs w:val="20"/>
      <w:lang w:val="de-DE" w:eastAsia="ar-SA"/>
    </w:rPr>
  </w:style>
  <w:style w:type="paragraph" w:styleId="berschrift6">
    <w:name w:val="heading 6"/>
    <w:basedOn w:val="Standard"/>
    <w:next w:val="Standard"/>
    <w:link w:val="berschrift6Zchn"/>
    <w:qFormat/>
    <w:rsid w:val="004D62B1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val="de-DE" w:eastAsia="ar-SA"/>
    </w:rPr>
  </w:style>
  <w:style w:type="paragraph" w:styleId="berschrift7">
    <w:name w:val="heading 7"/>
    <w:basedOn w:val="Standard"/>
    <w:next w:val="Standard"/>
    <w:link w:val="berschrift7Zchn"/>
    <w:qFormat/>
    <w:rsid w:val="004D62B1"/>
    <w:pPr>
      <w:numPr>
        <w:ilvl w:val="6"/>
        <w:numId w:val="1"/>
      </w:numPr>
      <w:suppressAutoHyphens/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val="de-DE" w:eastAsia="ar-SA"/>
    </w:rPr>
  </w:style>
  <w:style w:type="paragraph" w:styleId="berschrift8">
    <w:name w:val="heading 8"/>
    <w:basedOn w:val="Standard"/>
    <w:next w:val="Standard"/>
    <w:link w:val="berschrift8Zchn"/>
    <w:qFormat/>
    <w:rsid w:val="004D62B1"/>
    <w:pPr>
      <w:numPr>
        <w:ilvl w:val="7"/>
        <w:numId w:val="1"/>
      </w:numPr>
      <w:suppressAutoHyphens/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val="de-DE" w:eastAsia="ar-SA"/>
    </w:rPr>
  </w:style>
  <w:style w:type="paragraph" w:styleId="berschrift9">
    <w:name w:val="heading 9"/>
    <w:basedOn w:val="Standard"/>
    <w:next w:val="Standard"/>
    <w:link w:val="berschrift9Zchn"/>
    <w:qFormat/>
    <w:rsid w:val="004D62B1"/>
    <w:pPr>
      <w:numPr>
        <w:ilvl w:val="8"/>
        <w:numId w:val="1"/>
      </w:numPr>
      <w:suppressAutoHyphens/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val="de-DE"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4D62B1"/>
    <w:pPr>
      <w:suppressAutoHyphens/>
      <w:spacing w:after="120" w:line="240" w:lineRule="atLeast"/>
      <w:jc w:val="both"/>
    </w:pPr>
    <w:rPr>
      <w:rFonts w:ascii="Times New Roman" w:eastAsia="Times New Roman" w:hAnsi="Times New Roman" w:cs="Times New Roman"/>
      <w:sz w:val="20"/>
      <w:szCs w:val="20"/>
      <w:lang w:val="de-DE" w:eastAsia="ar-SA"/>
    </w:rPr>
  </w:style>
  <w:style w:type="character" w:customStyle="1" w:styleId="TextkrperZchn">
    <w:name w:val="Textkörper Zchn"/>
    <w:basedOn w:val="Absatz-Standardschriftart"/>
    <w:link w:val="Textkrper"/>
    <w:rsid w:val="004D62B1"/>
    <w:rPr>
      <w:rFonts w:ascii="Times New Roman" w:eastAsia="Times New Roman" w:hAnsi="Times New Roman" w:cs="Times New Roman"/>
      <w:sz w:val="20"/>
      <w:szCs w:val="20"/>
      <w:lang w:val="de-DE" w:eastAsia="ar-S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D62B1"/>
    <w:rPr>
      <w:rFonts w:ascii="Times New Roman" w:eastAsia="Times New Roman" w:hAnsi="Times New Roman" w:cs="Times New Roman"/>
      <w:b/>
      <w:kern w:val="1"/>
      <w:sz w:val="24"/>
      <w:szCs w:val="20"/>
      <w:lang w:val="de-DE" w:eastAsia="ar-SA"/>
    </w:rPr>
  </w:style>
  <w:style w:type="character" w:customStyle="1" w:styleId="berschrift2Zchn">
    <w:name w:val="Überschrift 2 Zchn"/>
    <w:basedOn w:val="Absatz-Standardschriftart"/>
    <w:link w:val="berschrift2"/>
    <w:rsid w:val="004D62B1"/>
    <w:rPr>
      <w:rFonts w:ascii="Times New Roman" w:eastAsia="Times New Roman" w:hAnsi="Times New Roman" w:cs="Times New Roman"/>
      <w:b/>
      <w:sz w:val="24"/>
      <w:szCs w:val="20"/>
      <w:lang w:val="de-DE" w:eastAsia="ar-SA"/>
    </w:rPr>
  </w:style>
  <w:style w:type="character" w:customStyle="1" w:styleId="berschrift3Zchn">
    <w:name w:val="Überschrift 3 Zchn"/>
    <w:basedOn w:val="Absatz-Standardschriftart"/>
    <w:link w:val="berschrift3"/>
    <w:rsid w:val="004D62B1"/>
    <w:rPr>
      <w:rFonts w:ascii="Times New Roman" w:eastAsia="Times New Roman" w:hAnsi="Times New Roman" w:cs="Times New Roman"/>
      <w:b/>
      <w:sz w:val="20"/>
      <w:szCs w:val="20"/>
      <w:lang w:val="de-DE" w:eastAsia="ar-SA"/>
    </w:rPr>
  </w:style>
  <w:style w:type="character" w:customStyle="1" w:styleId="berschrift4Zchn">
    <w:name w:val="Überschrift 4 Zchn"/>
    <w:basedOn w:val="Absatz-Standardschriftart"/>
    <w:link w:val="berschrift4"/>
    <w:rsid w:val="004D62B1"/>
    <w:rPr>
      <w:rFonts w:ascii="Arial" w:eastAsia="Times New Roman" w:hAnsi="Arial" w:cs="Times New Roman"/>
      <w:b/>
      <w:sz w:val="24"/>
      <w:szCs w:val="20"/>
      <w:lang w:val="de-DE" w:eastAsia="ar-SA"/>
    </w:rPr>
  </w:style>
  <w:style w:type="character" w:customStyle="1" w:styleId="berschrift5Zchn">
    <w:name w:val="Überschrift 5 Zchn"/>
    <w:basedOn w:val="Absatz-Standardschriftart"/>
    <w:link w:val="berschrift5"/>
    <w:rsid w:val="004D62B1"/>
    <w:rPr>
      <w:rFonts w:ascii="Times New Roman" w:eastAsia="Times New Roman" w:hAnsi="Times New Roman" w:cs="Times New Roman"/>
      <w:szCs w:val="20"/>
      <w:lang w:val="de-DE" w:eastAsia="ar-SA"/>
    </w:rPr>
  </w:style>
  <w:style w:type="character" w:customStyle="1" w:styleId="berschrift6Zchn">
    <w:name w:val="Überschrift 6 Zchn"/>
    <w:basedOn w:val="Absatz-Standardschriftart"/>
    <w:link w:val="berschrift6"/>
    <w:rsid w:val="004D62B1"/>
    <w:rPr>
      <w:rFonts w:ascii="Times New Roman" w:eastAsia="Times New Roman" w:hAnsi="Times New Roman" w:cs="Times New Roman"/>
      <w:i/>
      <w:szCs w:val="20"/>
      <w:lang w:val="de-DE" w:eastAsia="ar-SA"/>
    </w:rPr>
  </w:style>
  <w:style w:type="character" w:customStyle="1" w:styleId="berschrift7Zchn">
    <w:name w:val="Überschrift 7 Zchn"/>
    <w:basedOn w:val="Absatz-Standardschriftart"/>
    <w:link w:val="berschrift7"/>
    <w:rsid w:val="004D62B1"/>
    <w:rPr>
      <w:rFonts w:ascii="Arial" w:eastAsia="Times New Roman" w:hAnsi="Arial" w:cs="Times New Roman"/>
      <w:sz w:val="20"/>
      <w:szCs w:val="20"/>
      <w:lang w:val="de-DE" w:eastAsia="ar-SA"/>
    </w:rPr>
  </w:style>
  <w:style w:type="character" w:customStyle="1" w:styleId="berschrift8Zchn">
    <w:name w:val="Überschrift 8 Zchn"/>
    <w:basedOn w:val="Absatz-Standardschriftart"/>
    <w:link w:val="berschrift8"/>
    <w:rsid w:val="004D62B1"/>
    <w:rPr>
      <w:rFonts w:ascii="Arial" w:eastAsia="Times New Roman" w:hAnsi="Arial" w:cs="Times New Roman"/>
      <w:i/>
      <w:sz w:val="20"/>
      <w:szCs w:val="20"/>
      <w:lang w:val="de-DE" w:eastAsia="ar-SA"/>
    </w:rPr>
  </w:style>
  <w:style w:type="character" w:customStyle="1" w:styleId="berschrift9Zchn">
    <w:name w:val="Überschrift 9 Zchn"/>
    <w:basedOn w:val="Absatz-Standardschriftart"/>
    <w:link w:val="berschrift9"/>
    <w:rsid w:val="004D62B1"/>
    <w:rPr>
      <w:rFonts w:ascii="Arial" w:eastAsia="Times New Roman" w:hAnsi="Arial" w:cs="Times New Roman"/>
      <w:b/>
      <w:i/>
      <w:sz w:val="18"/>
      <w:szCs w:val="20"/>
      <w:lang w:val="de-DE" w:eastAsia="ar-SA"/>
    </w:rPr>
  </w:style>
  <w:style w:type="table" w:styleId="Tabellenraster">
    <w:name w:val="Table Grid"/>
    <w:basedOn w:val="NormaleTabelle"/>
    <w:rsid w:val="004D62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D62B1"/>
    <w:pPr>
      <w:ind w:left="720"/>
      <w:contextualSpacing/>
    </w:pPr>
  </w:style>
  <w:style w:type="paragraph" w:styleId="Titel">
    <w:name w:val="Title"/>
    <w:basedOn w:val="Standard"/>
    <w:next w:val="Untertitel"/>
    <w:link w:val="TitelZchn"/>
    <w:qFormat/>
    <w:rsid w:val="003B52D4"/>
    <w:pPr>
      <w:suppressAutoHyphens/>
      <w:spacing w:after="12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de-DE" w:eastAsia="ar-SA"/>
    </w:rPr>
  </w:style>
  <w:style w:type="character" w:customStyle="1" w:styleId="TitelZchn">
    <w:name w:val="Titel Zchn"/>
    <w:basedOn w:val="Absatz-Standardschriftart"/>
    <w:link w:val="Titel"/>
    <w:rsid w:val="003B52D4"/>
    <w:rPr>
      <w:rFonts w:ascii="Times New Roman" w:eastAsia="Times New Roman" w:hAnsi="Times New Roman" w:cs="Times New Roman"/>
      <w:b/>
      <w:sz w:val="32"/>
      <w:szCs w:val="20"/>
      <w:lang w:val="de-DE" w:eastAsia="ar-SA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B52D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B52D4"/>
    <w:rPr>
      <w:rFonts w:eastAsiaTheme="minorEastAsia"/>
      <w:color w:val="5A5A5A" w:themeColor="text1" w:themeTint="A5"/>
      <w:spacing w:val="15"/>
    </w:rPr>
  </w:style>
  <w:style w:type="paragraph" w:customStyle="1" w:styleId="Author">
    <w:name w:val="Author"/>
    <w:basedOn w:val="Standard"/>
    <w:rsid w:val="00163126"/>
    <w:pPr>
      <w:suppressAutoHyphens/>
      <w:spacing w:before="120" w:after="6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de-DE" w:eastAsia="ar-SA"/>
    </w:rPr>
  </w:style>
  <w:style w:type="paragraph" w:styleId="Literaturverzeichnis">
    <w:name w:val="Bibliography"/>
    <w:basedOn w:val="Standard"/>
    <w:next w:val="Standard"/>
    <w:uiPriority w:val="37"/>
    <w:unhideWhenUsed/>
    <w:rsid w:val="00CD1457"/>
  </w:style>
  <w:style w:type="paragraph" w:customStyle="1" w:styleId="references">
    <w:name w:val="references"/>
    <w:rsid w:val="00CD1457"/>
    <w:pPr>
      <w:numPr>
        <w:numId w:val="3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</w:rPr>
  </w:style>
  <w:style w:type="paragraph" w:customStyle="1" w:styleId="MDPI71References">
    <w:name w:val="MDPI_7.1_References"/>
    <w:qFormat/>
    <w:rsid w:val="00532FBB"/>
    <w:pPr>
      <w:numPr>
        <w:numId w:val="6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73FC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73FC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73FC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73FC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73FC3"/>
    <w:rPr>
      <w:b/>
      <w:bCs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13AF1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13AF1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D13AF1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D13AF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13A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rinna.Niegisch@de.bosch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20A89022BA9B43B384854AFB091ECE" ma:contentTypeVersion="16" ma:contentTypeDescription="Ein neues Dokument erstellen." ma:contentTypeScope="" ma:versionID="c434f5c2c52c36dbc93ef9dd1e3628f4">
  <xsd:schema xmlns:xsd="http://www.w3.org/2001/XMLSchema" xmlns:xs="http://www.w3.org/2001/XMLSchema" xmlns:p="http://schemas.microsoft.com/office/2006/metadata/properties" xmlns:ns2="51c8c2a5-94b0-460e-ae87-7c86c494f558" xmlns:ns3="6677f45e-0039-4a14-aae9-b4cb987798f6" targetNamespace="http://schemas.microsoft.com/office/2006/metadata/properties" ma:root="true" ma:fieldsID="0e4d2b44a62368f674841550637e89f9" ns2:_="" ns3:_="">
    <xsd:import namespace="51c8c2a5-94b0-460e-ae87-7c86c494f558"/>
    <xsd:import namespace="6677f45e-0039-4a14-aae9-b4cb987798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c8c2a5-94b0-460e-ae87-7c86c494f5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e69d81cb-74fd-49ac-b0f4-ca4cec6ee2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7f45e-0039-4a14-aae9-b4cb987798f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b50efb5d-0667-4207-9eca-fe562abbcb5c}" ma:internalName="TaxCatchAll" ma:showField="CatchAllData" ma:web="6677f45e-0039-4a14-aae9-b4cb987798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c8c2a5-94b0-460e-ae87-7c86c494f558">
      <Terms xmlns="http://schemas.microsoft.com/office/infopath/2007/PartnerControls"/>
    </lcf76f155ced4ddcb4097134ff3c332f>
    <TaxCatchAll xmlns="6677f45e-0039-4a14-aae9-b4cb987798f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Tro14</b:Tag>
    <b:SourceType>ConferenceProceedings</b:SourceType>
    <b:Guid>{79CF5DE3-2040-486C-B525-F32C37C6922F}</b:Guid>
    <b:Author>
      <b:Author>
        <b:Corporate>K. Troeger, et al.</b:Corporate>
      </b:Author>
    </b:Author>
    <b:Title>Tailored benzoxazines as novel resin systems for printed circuit boards in high temperature e-mobility applications</b:Title>
    <b:Pages>678-682</b:Pages>
    <b:Year>2014</b:Year>
    <b:ConferenceName>AIP Conference Proceedings</b:ConferenceName>
    <b:Volume>1593</b:Volume>
    <b:RefOrder>1</b:RefOrder>
  </b:Source>
  <b:Source>
    <b:Tag>Pec91</b:Tag>
    <b:SourceType>Book</b:SourceType>
    <b:Guid>{6B9C06B2-0E11-460A-969E-F6DB22A61715}</b:Guid>
    <b:Author>
      <b:Author>
        <b:Corporate>M. Pecht</b:Corporate>
      </b:Author>
    </b:Author>
    <b:Title>Handbook of Electronic Package Design</b:Title>
    <b:Year>1991</b:Year>
    <b:City>New York, Basel, Hong Kong</b:City>
    <b:Publisher>CRC Press</b:Publisher>
    <b:RefOrder>2</b:RefOrder>
  </b:Source>
  <b:Source>
    <b:Tag>Rös16</b:Tag>
    <b:SourceType>InternetSite</b:SourceType>
    <b:Guid>{EE975361-8F4F-40C2-A43A-DAA61EFE9DC3}</b:Guid>
    <b:Author>
      <b:Author>
        <b:Corporate>C. Rössle, T. Gottwald</b:Corporate>
      </b:Author>
    </b:Author>
    <b:Title>Anforderungen an die Leistungselektronik, Teil 1</b:Title>
    <b:ProductionCompany>All-Electronics.de</b:ProductionCompany>
    <b:Year>2016</b:Year>
    <b:YearAccessed>2018</b:YearAccessed>
    <b:MonthAccessed>07</b:MonthAccessed>
    <b:DayAccessed>03</b:DayAccessed>
    <b:URL>https://www.all-electronics.de/anforderungen-an-die-leistungselektronik-teil-1/</b:URL>
    <b:RefOrder>3</b:RefOrder>
  </b:Source>
  <b:Source>
    <b:Tag>Dem09</b:Tag>
    <b:SourceType>ArticleInAPeriodical</b:SourceType>
    <b:Guid>{EB4084AA-EB45-4AFD-8E03-A99A2A202B93}</b:Guid>
    <b:Author>
      <b:Author>
        <b:Corporate>P. Demmer, Siemens AG</b:Corporate>
      </b:Author>
    </b:Author>
    <b:Title>Basismaterialien für die erhöhten Leiterplatten</b:Title>
    <b:Year>2009</b:Year>
    <b:PeriodicalTitle>Produktion von Leiterplatten und Systemen (PLUS)</b:PeriodicalTitle>
    <b:Pages>2072-2075</b:Pages>
    <b:Volume>11</b:Volume>
    <b:Issue>9</b:Issue>
    <b:RefOrder>4</b:RefOrder>
  </b:Source>
  <b:Source>
    <b:Tag>Cem08</b:Tag>
    <b:SourceType>InternetSite</b:SourceType>
    <b:Guid>{A927C307-9373-4E26-8E8C-438BB8F11D57}</b:Guid>
    <b:Title>Verbesserte Eigenschaften durch neue Füllstoffe</b:Title>
    <b:Year>2008</b:Year>
    <b:Author>
      <b:Author>
        <b:Corporate>CemeCon AG, Würselen; Isola GmbH, Düren</b:Corporate>
      </b:Author>
    </b:Author>
    <b:ProductionCompany>epp.industrie.de</b:ProductionCompany>
    <b:YearAccessed>2018</b:YearAccessed>
    <b:MonthAccessed>07</b:MonthAccessed>
    <b:DayAccessed>04</b:DayAccessed>
    <b:URL>https://epp.industrie.de/allgemein/verbesserte-eigenschaften-durch-neue-fuellstoffe-cemecon-ag-wuerselen-und-isola-gmbh-dueren/</b:URL>
    <b:RefOrder>5</b:RefOrder>
  </b:Source>
  <b:Source>
    <b:Tag>Bha13</b:Tag>
    <b:SourceType>ArticleInAPeriodical</b:SourceType>
    <b:Guid>{ADD0A391-DFA0-4AB8-A1E3-620DDC91C8DE}</b:Guid>
    <b:Title>Effect of Graphite Filler on Mechanical Behavior of Epoxy Composites</b:Title>
    <b:Year>2013</b:Year>
    <b:Author>
      <b:Author>
        <b:Corporate>S. Bhagat, P. K. Verma</b:Corporate>
      </b:Author>
    </b:Author>
    <b:PeriodicalTitle>International Journal of Emerging Technology and Advanced Engineering</b:PeriodicalTitle>
    <b:Pages>427-430</b:Pages>
    <b:Volume>3</b:Volume>
    <b:Issue>2</b:Issue>
    <b:RefOrder>6</b:RefOrder>
  </b:Source>
  <b:Source>
    <b:Tag>Ris12</b:Tag>
    <b:SourceType>Book</b:SourceType>
    <b:Guid>{8E6700ED-045C-4C4E-83A5-C3B49A6C4929}</b:Guid>
    <b:Title>Fertigungsverfahren der Mechatronik, Feinwerk- und Präzisionsgerätetechnik</b:Title>
    <b:Year>2012</b:Year>
    <b:Author>
      <b:Author>
        <b:Corporate>A. Risse</b:Corporate>
      </b:Author>
    </b:Author>
    <b:City>Wiesbaden</b:City>
    <b:Publisher>Springer+Teubner Verlag</b:Publisher>
    <b:RefOrder>7</b:RefOrder>
  </b:Source>
  <b:Source>
    <b:Tag>Rat18</b:Tag>
    <b:SourceType>ConferenceProceedings</b:SourceType>
    <b:Guid>{E600A2B6-FAA7-40F9-A38B-AC2CFFA303A1}</b:Guid>
    <b:Author>
      <b:Author>
        <b:Corporate>R. Ratchev et al.</b:Corporate>
      </b:Author>
    </b:Author>
    <b:Title>Hochtemperatur-Leiterplattenmaterialien für die Leistungselektronik unter erhöhter Belastung</b:Title>
    <b:Pages>59-65</b:Pages>
    <b:Year>2018</b:Year>
    <b:ConferenceName>Elektronische Baugruppen und Leiterplatten (EBL)</b:ConferenceName>
    <b:Volume>340</b:Volume>
    <b:City>Fellbach (D)</b:City>
    <b:RefOrder>8</b:RefOrder>
  </b:Source>
  <b:Source>
    <b:Tag>Nae16</b:Tag>
    <b:SourceType>ArticleInAPeriodical</b:SourceType>
    <b:Guid>{5E8AF372-C8F8-4EEF-8003-F9192D0A39AE}</b:Guid>
    <b:Title>Crack Damage in Polymers and Composites: A Review</b:Title>
    <b:Year>2016</b:Year>
    <b:Author>
      <b:Author>
        <b:Corporate>M. Naebe et al.</b:Corporate>
      </b:Author>
    </b:Author>
    <b:PeriodicalTitle>Polymer Reviews</b:PeriodicalTitle>
    <b:Pages>31-69</b:Pages>
    <b:Volume>56</b:Volume>
    <b:Issue>1</b:Issue>
    <b:RefOrder>9</b:RefOrder>
  </b:Source>
  <b:Source>
    <b:Tag>Loo83</b:Tag>
    <b:SourceType>ArticleInAPeriodical</b:SourceType>
    <b:Guid>{627A16A8-5638-4A02-95FE-6F1EBCD1DB21}</b:Guid>
    <b:Author>
      <b:Author>
        <b:Corporate>A. C. Loos, G. S. Springer</b:Corporate>
      </b:Author>
    </b:Author>
    <b:Title>Curing of Epoxy Matrix Composites</b:Title>
    <b:Pages>135-169</b:Pages>
    <b:Year>1983</b:Year>
    <b:ConferenceName>Journal of Composite Materials</b:ConferenceName>
    <b:Volume>17</b:Volume>
    <b:PeriodicalTitle>Journal of Composite Materials</b:PeriodicalTitle>
    <b:RefOrder>10</b:RefOrder>
  </b:Source>
  <b:Source>
    <b:Tag>Nak91</b:Tag>
    <b:SourceType>ArticleInAPeriodical</b:SourceType>
    <b:Guid>{E164A0E3-FEA7-493E-B003-38EF3084B3DE}</b:Guid>
    <b:Title>Pressure Dependence of the Curing Behavior of Epoxy Resin</b:Title>
    <b:Year>1991</b:Year>
    <b:Author>
      <b:Author>
        <b:Corporate>K. Nakamae et al.</b:Corporate>
      </b:Author>
    </b:Author>
    <b:PeriodicalTitle>Polymer Journal</b:PeriodicalTitle>
    <b:Pages>1157-1162</b:Pages>
    <b:Volume>23</b:Volume>
    <b:Issue>10</b:Issue>
    <b:RefOrder>11</b:RefOrder>
  </b:Source>
  <b:Source>
    <b:Tag>Ötz15</b:Tag>
    <b:SourceType>Book</b:SourceType>
    <b:Guid>{724B463A-790C-4353-8A09-AB9458C2310E}</b:Guid>
    <b:Author>
      <b:Author>
        <b:Corporate>B. Ötztürk</b:Corporate>
      </b:Author>
    </b:Author>
    <b:Title>On the nonlinear thermomechanical behavior and delamination of conductive adhesives (Dissertation)</b:Title>
    <b:Year>2015</b:Year>
    <b:Publisher>Technische Universität Delft</b:Publisher>
    <b:RefOrder>12</b:RefOrder>
  </b:Source>
  <b:Source>
    <b:Tag>Wie12</b:Tag>
    <b:SourceType>Book</b:SourceType>
    <b:Guid>{A4C675E0-718D-4510-8903-94B114EFEA34}</b:Guid>
    <b:Author>
      <b:Author>
        <b:Corporate>S. Wiebel</b:Corporate>
      </b:Author>
    </b:Author>
    <b:Title>Untersuchung zur thermischen Langzeitstabilität von Epoxidharzen der elektrischen Isoliertechnik in Abhängigkeit von oxidativen Umgebungseinflüssen (Dissertation)</b:Title>
    <b:Year>2012</b:Year>
    <b:Publisher>Technische Universität Darmstadt</b:Publisher>
    <b:RefOrder>13</b:RefOrder>
  </b:Source>
  <b:Source>
    <b:Tag>Gün03</b:Tag>
    <b:SourceType>Book</b:SourceType>
    <b:Guid>{3F15FFCF-E33F-4E4D-A7C0-E812DF247128}</b:Guid>
    <b:Author>
      <b:Author>
        <b:Corporate>H. Günzler, H.-U. Gremlich</b:Corporate>
      </b:Author>
    </b:Author>
    <b:Title>IR-Spektroskopie</b:Title>
    <b:Year>2003</b:Year>
    <b:City>Weinheim</b:City>
    <b:Publisher>WILEY-VCH Verlag GmbH &amp; Co. KGaA</b:Publisher>
    <b:RefOrder>14</b:RefOrder>
  </b:Source>
  <b:Source>
    <b:Tag>Sep08</b:Tag>
    <b:SourceType>Book</b:SourceType>
    <b:Guid>{BB0F0C70-F2A5-4E32-8150-186CF35DED38}</b:Guid>
    <b:Title>Nanotechnologie: Grundlagen und Anwendungen</b:Title>
    <b:Year>2008</b:Year>
    <b:Author>
      <b:Author>
        <b:Corporate>S. Sepeur et al.</b:Corporate>
      </b:Author>
    </b:Author>
    <b:City>Vincentz Network GmbH &amp; Co. KG</b:City>
    <b:Publisher>Hannover</b:Publisher>
    <b:RefOrder>15</b:RefOrder>
  </b:Source>
  <b:Source>
    <b:Tag>IJ12</b:Tag>
    <b:SourceType>InternetSite</b:SourceType>
    <b:Guid>{9246775F-7837-4569-BC5A-39C76E624A3C}</b:Guid>
    <b:Author>
      <b:Author>
        <b:Corporate>T. Ferreira, W. Rasband</b:Corporate>
      </b:Author>
    </b:Author>
    <b:Title>ImageJ User Guide </b:Title>
    <b:Year>2012</b:Year>
    <b:YearAccessed>2018</b:YearAccessed>
    <b:MonthAccessed>07</b:MonthAccessed>
    <b:DayAccessed>27</b:DayAccessed>
    <b:URL>https://imagej.nih.gov/ij/docs/guide/user-guide.pdf</b:URL>
    <b:RefOrder>16</b:RefOrder>
  </b:Source>
  <b:Source>
    <b:Tag>ISO527</b:Tag>
    <b:SourceType>Patent</b:SourceType>
    <b:Guid>{EAE616A6-9A87-49E8-B040-9FCEC74A4D80}</b:Guid>
    <b:Title>Plastics - Determination of tensile properties. Part 2: Test conditions for moulding and extrusion plastics</b:Title>
    <b:Year>2012</b:Year>
    <b:PatentNumber>ISO 527-2:2012(E)</b:PatentNumber>
    <b:RefOrder>17</b:RefOrder>
  </b:Source>
  <b:Source>
    <b:Tag>Sta04</b:Tag>
    <b:SourceType>BookSection</b:SourceType>
    <b:Guid>{6BC82EA5-F2DD-4B6F-ABA4-132B65E74C8D}</b:Guid>
    <b:Title>Materialtrends und Verbindungskonzepte künftiger Leiterplatten</b:Title>
    <b:Year>2004</b:Year>
    <b:Author>
      <b:Author>
        <b:Corporate>H. Stahr et al.</b:Corporate>
      </b:Author>
      <b:Editor>
        <b:NameList>
          <b:Person>
            <b:Last>u.VDE/VDI-Ges.Mikroelektr.</b:Last>
            <b:First>Mikro-u.Feinw.(GMM)</b:First>
            <b:Middle>Dt.Verb.f.Schweißen u.verwandte Verfahren e.V. (DVS)</b:Middle>
          </b:Person>
        </b:NameList>
      </b:Editor>
    </b:Author>
    <b:BookTitle>Elektronische Baugruppen. Aufbau- und Fertigungstechnik - Die Trends von heute - die Chancen von morgen - Vorträge der DVS /GMM-Fachtagung vom 4. bis 5. Februar 2004 in Fellbach</b:BookTitle>
    <b:Publisher>VDE Verlag</b:Publisher>
    <b:RefOrder>18</b:RefOrder>
  </b:Source>
</b:Sources>
</file>

<file path=customXml/itemProps1.xml><?xml version="1.0" encoding="utf-8"?>
<ds:datastoreItem xmlns:ds="http://schemas.openxmlformats.org/officeDocument/2006/customXml" ds:itemID="{0F0ACB5A-71EB-45C0-BEE5-DA838189B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c8c2a5-94b0-460e-ae87-7c86c494f558"/>
    <ds:schemaRef ds:uri="6677f45e-0039-4a14-aae9-b4cb98779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6FE596-E397-4BCA-8923-8CE370B849EA}">
  <ds:schemaRefs>
    <ds:schemaRef ds:uri="http://schemas.microsoft.com/office/2006/metadata/properties"/>
    <ds:schemaRef ds:uri="http://schemas.microsoft.com/office/infopath/2007/PartnerControls"/>
    <ds:schemaRef ds:uri="51c8c2a5-94b0-460e-ae87-7c86c494f558"/>
    <ds:schemaRef ds:uri="6677f45e-0039-4a14-aae9-b4cb987798f6"/>
  </ds:schemaRefs>
</ds:datastoreItem>
</file>

<file path=customXml/itemProps3.xml><?xml version="1.0" encoding="utf-8"?>
<ds:datastoreItem xmlns:ds="http://schemas.openxmlformats.org/officeDocument/2006/customXml" ds:itemID="{BE5AD77E-BEC8-4549-B5B5-5E5C055CCB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3F1BCD-2C3E-456E-837B-71C5156ED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2041</Words>
  <Characters>12864</Characters>
  <Application>Microsoft Office Word</Application>
  <DocSecurity>0</DocSecurity>
  <Lines>107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BOSCH Group</Company>
  <LinksUpToDate>false</LinksUpToDate>
  <CharactersWithSpaces>14876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Schmidt Michael (CR/APJ3)</dc:creator>
  <cp:keywords/>
  <dc:description/>
  <cp:lastModifiedBy>Rahel Dietze</cp:lastModifiedBy>
  <cp:revision>2</cp:revision>
  <cp:lastPrinted>2024-02-08T07:38:00Z</cp:lastPrinted>
  <dcterms:created xsi:type="dcterms:W3CDTF">2024-05-15T13:46:00Z</dcterms:created>
  <dcterms:modified xsi:type="dcterms:W3CDTF">2024-05-15T13:46:00Z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0x0101001620A89022BA9B43B384854AFB091ECE</vt:lpwstr>
  </property>
</Properties>
</file>