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el"/>
        <w:bidi w:val="0"/>
      </w:pPr>
      <w:r>
        <w:drawing xmlns:a="http://schemas.openxmlformats.org/drawingml/2006/main">
          <wp:anchor distT="152400" distB="152400" distL="152400" distR="152400" simplePos="0" relativeHeight="251659264" behindDoc="0" locked="0" layoutInCell="1" allowOverlap="1">
            <wp:simplePos x="0" y="0"/>
            <wp:positionH relativeFrom="margin">
              <wp:posOffset>5350343</wp:posOffset>
            </wp:positionH>
            <wp:positionV relativeFrom="page">
              <wp:posOffset>162560</wp:posOffset>
            </wp:positionV>
            <wp:extent cx="828207" cy="1218354"/>
            <wp:effectExtent l="0" t="0" r="0" b="0"/>
            <wp:wrapNone/>
            <wp:docPr id="1073741825" name="officeArt object" descr="IMAPS_LOGO.png"/>
            <wp:cNvGraphicFramePr/>
            <a:graphic xmlns:a="http://schemas.openxmlformats.org/drawingml/2006/main">
              <a:graphicData uri="http://schemas.openxmlformats.org/drawingml/2006/picture">
                <pic:pic xmlns:pic="http://schemas.openxmlformats.org/drawingml/2006/picture">
                  <pic:nvPicPr>
                    <pic:cNvPr id="1073741825" name="IMAPS_LOGO.png" descr="IMAPS_LOGO.png"/>
                    <pic:cNvPicPr>
                      <a:picLocks noChangeAspect="1"/>
                    </pic:cNvPicPr>
                  </pic:nvPicPr>
                  <pic:blipFill>
                    <a:blip r:embed="rId4">
                      <a:extLst/>
                    </a:blip>
                    <a:stretch>
                      <a:fillRect/>
                    </a:stretch>
                  </pic:blipFill>
                  <pic:spPr>
                    <a:xfrm>
                      <a:off x="0" y="0"/>
                      <a:ext cx="828207" cy="1218354"/>
                    </a:xfrm>
                    <a:prstGeom prst="rect">
                      <a:avLst/>
                    </a:prstGeom>
                    <a:ln w="12700" cap="flat">
                      <a:noFill/>
                      <a:miter lim="400000"/>
                    </a:ln>
                    <a:effectLst/>
                  </pic:spPr>
                </pic:pic>
              </a:graphicData>
            </a:graphic>
          </wp:anchor>
        </w:drawing>
      </w:r>
      <w:r>
        <w:drawing xmlns:a="http://schemas.openxmlformats.org/drawingml/2006/main">
          <wp:anchor distT="0" distB="0" distL="0" distR="0" simplePos="0" relativeHeight="251661312" behindDoc="0" locked="0" layoutInCell="1" allowOverlap="1">
            <wp:simplePos x="0" y="0"/>
            <wp:positionH relativeFrom="margin">
              <wp:posOffset>-6350</wp:posOffset>
            </wp:positionH>
            <wp:positionV relativeFrom="page">
              <wp:posOffset>289560</wp:posOffset>
            </wp:positionV>
            <wp:extent cx="6184900" cy="1220346"/>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5">
                      <a:extLst/>
                    </a:blip>
                    <a:stretch>
                      <a:fillRect/>
                    </a:stretch>
                  </pic:blipFill>
                  <pic:spPr>
                    <a:xfrm>
                      <a:off x="0" y="0"/>
                      <a:ext cx="6184900" cy="1220346"/>
                    </a:xfrm>
                    <a:prstGeom prst="rect">
                      <a:avLst/>
                    </a:prstGeom>
                    <a:ln w="12700" cap="flat">
                      <a:noFill/>
                      <a:miter lim="400000"/>
                    </a:ln>
                    <a:effectLst/>
                  </pic:spPr>
                </pic:pic>
              </a:graphicData>
            </a:graphic>
          </wp:anchor>
        </w:drawing>
      </w:r>
    </w:p>
    <w:p>
      <w:pPr>
        <w:pStyle w:val="Titel"/>
        <w:bidi w:val="0"/>
      </w:pPr>
    </w:p>
    <w:p>
      <w:pPr>
        <w:pStyle w:val="Tite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cs="Calibri" w:hAnsi="Calibri" w:eastAsia="Calibri"/>
          <w:i w:val="1"/>
          <w:iCs w:val="1"/>
          <w:outline w:val="0"/>
          <w:color w:val="ff2f2a"/>
          <w:sz w:val="42"/>
          <w:szCs w:val="42"/>
          <w14:textFill>
            <w14:solidFill>
              <w14:srgbClr w14:val="FF2F2B"/>
            </w14:solidFill>
          </w14:textFill>
        </w:rPr>
      </w:pPr>
      <w:r>
        <w:rPr>
          <w:rFonts w:ascii="Calibri" w:hAnsi="Calibri"/>
          <w:rtl w:val="0"/>
          <w:lang w:val="en-US"/>
        </w:rPr>
        <w:t xml:space="preserve">Call for </w:t>
      </w:r>
      <w:r>
        <w:rPr>
          <w:rFonts w:ascii="Calibri" w:hAnsi="Calibri"/>
          <w:rtl w:val="0"/>
          <w:lang w:val="de-DE"/>
        </w:rPr>
        <w:t>Abstracts</w:t>
      </w:r>
    </w:p>
    <w:p>
      <w:pPr>
        <w:pStyle w:val="Normal.0"/>
        <w:spacing w:after="0" w:line="240" w:lineRule="auto"/>
        <w:jc w:val="center"/>
      </w:pPr>
    </w:p>
    <w:p>
      <w:pPr>
        <w:pStyle w:val="Normal.0"/>
        <w:spacing w:after="0" w:line="240" w:lineRule="auto"/>
        <w:jc w:val="center"/>
      </w:pPr>
      <w:r>
        <w:rPr>
          <w:rtl w:val="0"/>
          <w:lang w:val="de-DE"/>
        </w:rPr>
        <w:t>Deutsche IMAPS Konferenz</w:t>
      </w:r>
      <w:r>
        <w:br w:type="textWrapping"/>
      </w:r>
      <w:r>
        <w:rPr>
          <w:rtl w:val="0"/>
          <w:lang w:val="de-DE"/>
        </w:rPr>
        <w:t>16. / 17</w:t>
      </w:r>
      <w:r>
        <w:rPr>
          <w:rtl w:val="0"/>
          <w:lang w:val="de-DE"/>
        </w:rPr>
        <w:t>. Oktober 20</w:t>
      </w:r>
      <w:r>
        <w:rPr>
          <w:rtl w:val="0"/>
          <w:lang w:val="de-DE"/>
        </w:rPr>
        <w:t>25</w:t>
      </w:r>
      <w:r>
        <w:rPr>
          <w:rtl w:val="0"/>
          <w:lang w:val="de-DE"/>
        </w:rPr>
        <w:t>, M</w:t>
      </w:r>
      <w:r>
        <w:rPr>
          <w:rtl w:val="0"/>
          <w:lang w:val="de-DE"/>
        </w:rPr>
        <w:t>ü</w:t>
      </w:r>
      <w:r>
        <w:rPr>
          <w:rtl w:val="0"/>
          <w:lang w:val="de-DE"/>
        </w:rPr>
        <w:t>nchen</w:t>
      </w:r>
    </w:p>
    <w:p>
      <w:pPr>
        <w:pStyle w:val="Normal.0"/>
        <w:spacing w:after="0" w:line="240" w:lineRule="auto"/>
        <w:jc w:val="center"/>
      </w:pPr>
    </w:p>
    <w:p>
      <w:pPr>
        <w:pStyle w:val="Normal.0"/>
        <w:jc w:val="both"/>
      </w:pPr>
      <w:r>
        <w:rPr>
          <w:rtl w:val="0"/>
          <w:lang w:val="de-DE"/>
        </w:rPr>
        <w:t>Im Herbst jede</w:t>
      </w:r>
      <w:r>
        <w:rPr>
          <w:rtl w:val="0"/>
          <w:lang w:val="de-DE"/>
        </w:rPr>
        <w:t>n</w:t>
      </w:r>
      <w:r>
        <w:rPr>
          <w:rtl w:val="0"/>
          <w:lang w:val="de-DE"/>
        </w:rPr>
        <w:t xml:space="preserve"> Jahres veranstaltet IMAPS Deutschland eine Jahreskonferenz zu aktuellen Themen der Aufbau- und Verbindungstechnik in allen Anwendungsfeldern. F</w:t>
      </w:r>
      <w:r>
        <w:rPr>
          <w:rtl w:val="0"/>
          <w:lang w:val="de-DE"/>
        </w:rPr>
        <w:t>ü</w:t>
      </w:r>
      <w:r>
        <w:rPr>
          <w:rtl w:val="0"/>
          <w:lang w:val="de-DE"/>
        </w:rPr>
        <w:t>r die Sicherung, St</w:t>
      </w:r>
      <w:r>
        <w:rPr>
          <w:rtl w:val="0"/>
          <w:lang w:val="de-DE"/>
        </w:rPr>
        <w:t>ä</w:t>
      </w:r>
      <w:r>
        <w:rPr>
          <w:rtl w:val="0"/>
          <w:lang w:val="de-DE"/>
        </w:rPr>
        <w:t>rkung und Weiterentwicklung des Wirtschaftsstandorts Deutschlands m</w:t>
      </w:r>
      <w:r>
        <w:rPr>
          <w:rtl w:val="0"/>
          <w:lang w:val="de-DE"/>
        </w:rPr>
        <w:t>ö</w:t>
      </w:r>
      <w:r>
        <w:rPr>
          <w:rtl w:val="0"/>
          <w:lang w:val="de-DE"/>
        </w:rPr>
        <w:t>chte IMAPS Deutschland die Jahreskonferenz als eine wichtige Plattform f</w:t>
      </w:r>
      <w:r>
        <w:rPr>
          <w:rtl w:val="0"/>
          <w:lang w:val="de-DE"/>
        </w:rPr>
        <w:t>ü</w:t>
      </w:r>
      <w:r>
        <w:rPr>
          <w:rtl w:val="0"/>
          <w:lang w:val="de-DE"/>
        </w:rPr>
        <w:t>r die daf</w:t>
      </w:r>
      <w:r>
        <w:rPr>
          <w:rtl w:val="0"/>
          <w:lang w:val="de-DE"/>
        </w:rPr>
        <w:t>ü</w:t>
      </w:r>
      <w:r>
        <w:rPr>
          <w:rtl w:val="0"/>
          <w:lang w:val="de-DE"/>
        </w:rPr>
        <w:t>r erforderliche engmaschige fachliche Diskussion zwischen Industrie und Hochschule sowie Produktion und Forschung verstanden wissen. Wir laden Sie deshalb auch in diesem Jahr wieder herzlich ein, Ihre Ergebnisse zu den nachfolgend genannten mikroelektronischen Packaging-Themen auf unserer Tagung vor Vertretern aus Industrie und Wissenschaft zu pr</w:t>
      </w:r>
      <w:r>
        <w:rPr>
          <w:rtl w:val="0"/>
          <w:lang w:val="de-DE"/>
        </w:rPr>
        <w:t>ä</w:t>
      </w:r>
      <w:r>
        <w:rPr>
          <w:rtl w:val="0"/>
          <w:lang w:val="de-DE"/>
        </w:rPr>
        <w:t>sentieren und gemeinsam zu diskutieren (Vortrag 20 Minuten + Diskussion, Foliensatz f</w:t>
      </w:r>
      <w:r>
        <w:rPr>
          <w:rtl w:val="0"/>
          <w:lang w:val="de-DE"/>
        </w:rPr>
        <w:t>ü</w:t>
      </w:r>
      <w:r>
        <w:rPr>
          <w:rtl w:val="0"/>
          <w:lang w:val="de-DE"/>
        </w:rPr>
        <w:t>r Teilnehmer, kein Full Paper erforderlich):</w:t>
      </w:r>
    </w:p>
    <w:tbl>
      <w:tblPr>
        <w:tblW w:w="968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254"/>
        <w:gridCol w:w="549"/>
        <w:gridCol w:w="4877"/>
      </w:tblGrid>
      <w:tr>
        <w:tblPrEx>
          <w:shd w:val="clear" w:color="auto" w:fill="auto"/>
        </w:tblPrEx>
        <w:trPr>
          <w:trHeight w:val="2640" w:hRule="atLeast"/>
        </w:trPr>
        <w:tc>
          <w:tcPr>
            <w:tcW w:type="dxa" w:w="4254"/>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Überschrift 2"/>
              <w:bidi w:val="0"/>
              <w:rPr>
                <w:rFonts w:ascii="Calibri" w:cs="Calibri" w:hAnsi="Calibri" w:eastAsia="Calibri"/>
                <w:b w:val="0"/>
                <w:b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pPr>
            <w:r>
              <w:rPr>
                <w:rFonts w:ascii="Calibri" w:hAnsi="Calibri"/>
                <w:sz w:val="22"/>
                <w:szCs w:val="22"/>
                <w:u w:color="000000"/>
                <w:rtl w:val="0"/>
                <w:lang w:val="de-DE"/>
              </w:rPr>
              <w:t>Entwurf, Modellierung, Simulation</w:t>
            </w:r>
          </w:p>
          <w:p>
            <w:pPr>
              <w:pStyle w:val="Normal.0"/>
              <w:numPr>
                <w:ilvl w:val="0"/>
                <w:numId w:val="1"/>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Elektrisches und elektromagnetisches Design</w:t>
            </w:r>
          </w:p>
          <w:p>
            <w:pPr>
              <w:pStyle w:val="Normal.0"/>
              <w:numPr>
                <w:ilvl w:val="0"/>
                <w:numId w:val="1"/>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Thermisches und thermomechanisches Design</w:t>
            </w:r>
          </w:p>
          <w:p>
            <w:pPr>
              <w:pStyle w:val="Normal.0"/>
              <w:numPr>
                <w:ilvl w:val="0"/>
                <w:numId w:val="1"/>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Fertigungs- und testgerechtes Design</w:t>
            </w:r>
          </w:p>
          <w:p>
            <w:pPr>
              <w:pStyle w:val="Normal.0"/>
              <w:numPr>
                <w:ilvl w:val="0"/>
                <w:numId w:val="1"/>
              </w:numPr>
              <w:spacing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HF Design und 3D-Entwurf</w:t>
            </w:r>
          </w:p>
        </w:tc>
        <w:tc>
          <w:tcPr>
            <w:tcW w:type="dxa" w:w="549"/>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tc>
        <w:tc>
          <w:tcPr>
            <w:tcW w:type="dxa" w:w="4877"/>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Überschrift 2"/>
              <w:bidi w:val="0"/>
              <w:rPr>
                <w:rFonts w:ascii="Calibri" w:cs="Calibri" w:hAnsi="Calibri" w:eastAsia="Calibri"/>
                <w:sz w:val="22"/>
                <w:szCs w:val="22"/>
                <w:u w:color="000000"/>
                <w:rtl w:val="0"/>
                <w:lang w:val="de-DE"/>
              </w:rPr>
            </w:pPr>
            <w:r>
              <w:rPr>
                <w:rFonts w:ascii="Calibri" w:hAnsi="Calibri"/>
                <w:sz w:val="22"/>
                <w:szCs w:val="22"/>
                <w:u w:color="000000"/>
                <w:rtl w:val="0"/>
                <w:lang w:val="de-DE"/>
              </w:rPr>
              <w:t xml:space="preserve">Materialien und Prozesse </w:t>
            </w:r>
          </w:p>
          <w:p>
            <w:pPr>
              <w:pStyle w:val="Normal.0"/>
              <w:numPr>
                <w:ilvl w:val="0"/>
                <w:numId w:val="2"/>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Substratmaterialien und Oberfl</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ä</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chenschichtsysteme</w:t>
            </w:r>
          </w:p>
          <w:p>
            <w:pPr>
              <w:pStyle w:val="Normal.0"/>
              <w:numPr>
                <w:ilvl w:val="0"/>
                <w:numId w:val="2"/>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Herstellung von Verdrahtungstr</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ä</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gern</w:t>
            </w:r>
          </w:p>
          <w:p>
            <w:pPr>
              <w:pStyle w:val="Normal.0"/>
              <w:numPr>
                <w:ilvl w:val="0"/>
                <w:numId w:val="2"/>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 xml:space="preserve">Verbindungstechnologien (Flip Chip, CoB, SMT, Embedding, </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w:t>
            </w:r>
          </w:p>
          <w:p>
            <w:pPr>
              <w:pStyle w:val="Normal.0"/>
              <w:numPr>
                <w:ilvl w:val="0"/>
                <w:numId w:val="2"/>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 xml:space="preserve">Schutz-, Verguss- und Verkapselungsprozesse und </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 xml:space="preserve"> -</w:t>
            </w: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materialien</w:t>
            </w:r>
          </w:p>
          <w:p>
            <w:pPr>
              <w:pStyle w:val="Normal.0"/>
              <w:numPr>
                <w:ilvl w:val="0"/>
                <w:numId w:val="2"/>
              </w:numPr>
              <w:spacing w:before="60" w:after="0" w:line="240" w:lineRule="auto"/>
              <w:rPr>
                <w:sz w:val="22"/>
                <w:szCs w:val="22"/>
                <w:lang w:val="de-DE"/>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noFill/>
                </w14:textOutline>
                <w14:textFill>
                  <w14:solidFill>
                    <w14:srgbClr w14:val="000000"/>
                  </w14:solidFill>
                </w14:textFill>
              </w:rPr>
              <w:t>Nanomaterialien</w:t>
            </w:r>
          </w:p>
        </w:tc>
      </w:tr>
      <w:tr>
        <w:tblPrEx>
          <w:shd w:val="clear" w:color="auto" w:fill="auto"/>
        </w:tblPrEx>
        <w:trPr>
          <w:trHeight w:val="2071" w:hRule="atLeast"/>
        </w:trPr>
        <w:tc>
          <w:tcPr>
            <w:tcW w:type="dxa" w:w="4254"/>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Normal.0"/>
              <w:spacing w:before="60" w:after="0" w:line="240" w:lineRule="auto"/>
              <w:rPr>
                <w:b w:val="1"/>
                <w:bCs w:val="1"/>
              </w:rPr>
            </w:pPr>
            <w:r>
              <w:rPr>
                <w:b w:val="1"/>
                <w:bCs w:val="1"/>
                <w:rtl w:val="0"/>
                <w:lang w:val="de-DE"/>
              </w:rPr>
              <w:t>Technologien der Systemintegration</w:t>
            </w:r>
          </w:p>
          <w:p>
            <w:pPr>
              <w:pStyle w:val="Normal.0"/>
              <w:numPr>
                <w:ilvl w:val="0"/>
                <w:numId w:val="3"/>
              </w:numPr>
              <w:spacing w:before="60" w:after="0" w:line="240" w:lineRule="auto"/>
              <w:rPr>
                <w:lang w:val="en-US"/>
              </w:rPr>
            </w:pPr>
            <w:r>
              <w:rPr>
                <w:rtl w:val="0"/>
                <w:lang w:val="en-US"/>
              </w:rPr>
              <w:t xml:space="preserve">Wafer Level Packaging (CSP, SiP, </w:t>
            </w:r>
            <w:r>
              <w:rPr>
                <w:rtl w:val="0"/>
              </w:rPr>
              <w:t>…</w:t>
            </w:r>
            <w:r>
              <w:rPr>
                <w:rtl w:val="0"/>
              </w:rPr>
              <w:t>)</w:t>
            </w:r>
          </w:p>
          <w:p>
            <w:pPr>
              <w:pStyle w:val="Normal.0"/>
              <w:numPr>
                <w:ilvl w:val="0"/>
                <w:numId w:val="3"/>
              </w:numPr>
              <w:spacing w:before="60" w:after="0" w:line="240" w:lineRule="auto"/>
              <w:rPr>
                <w:lang w:val="en-US"/>
              </w:rPr>
            </w:pPr>
            <w:r>
              <w:rPr>
                <w:rtl w:val="0"/>
                <w:lang w:val="en-US"/>
              </w:rPr>
              <w:t>Substrate Level Packaging (System on Board, Embedding, ...)</w:t>
            </w:r>
          </w:p>
          <w:p>
            <w:pPr>
              <w:pStyle w:val="Normal.0"/>
              <w:numPr>
                <w:ilvl w:val="0"/>
                <w:numId w:val="3"/>
              </w:numPr>
              <w:spacing w:before="60" w:after="0" w:line="240" w:lineRule="auto"/>
              <w:rPr>
                <w:lang w:val="en-US"/>
              </w:rPr>
            </w:pPr>
            <w:r>
              <w:rPr>
                <w:rtl w:val="0"/>
                <w:lang w:val="en-US"/>
              </w:rPr>
              <w:t>MEMS / Sensor-Packaging</w:t>
            </w:r>
          </w:p>
          <w:p>
            <w:pPr>
              <w:pStyle w:val="Normal.0"/>
              <w:numPr>
                <w:ilvl w:val="0"/>
                <w:numId w:val="3"/>
              </w:numPr>
              <w:spacing w:before="60" w:after="0" w:line="240" w:lineRule="auto"/>
              <w:rPr>
                <w:lang w:val="nl-NL"/>
              </w:rPr>
            </w:pPr>
            <w:r>
              <w:rPr>
                <w:rtl w:val="0"/>
                <w:lang w:val="nl-NL"/>
              </w:rPr>
              <w:t>Optoelektronisches Packaging</w:t>
            </w:r>
          </w:p>
          <w:p>
            <w:pPr>
              <w:pStyle w:val="Normal.0"/>
              <w:numPr>
                <w:ilvl w:val="0"/>
                <w:numId w:val="3"/>
              </w:numPr>
              <w:spacing w:before="60" w:after="0" w:line="240" w:lineRule="auto"/>
              <w:rPr>
                <w:lang w:val="en-US"/>
              </w:rPr>
            </w:pPr>
            <w:r>
              <w:rPr>
                <w:rtl w:val="0"/>
                <w:lang w:val="en-US"/>
              </w:rPr>
              <w:t>3D-Packaging</w:t>
            </w:r>
          </w:p>
        </w:tc>
        <w:tc>
          <w:tcPr>
            <w:tcW w:type="dxa" w:w="549"/>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tc>
        <w:tc>
          <w:tcPr>
            <w:tcW w:type="dxa" w:w="4877"/>
            <w:tcBorders>
              <w:top w:val="dotted" w:color="000000" w:sz="0" w:space="0" w:shadow="0" w:frame="0"/>
              <w:left w:val="dotted" w:color="000000" w:sz="0" w:space="0" w:shadow="0" w:frame="0"/>
              <w:bottom w:val="dotted" w:color="000000" w:sz="0" w:space="0" w:shadow="0" w:frame="0"/>
              <w:right w:val="dotted" w:color="000000" w:sz="0" w:space="0" w:shadow="0" w:frame="0"/>
            </w:tcBorders>
            <w:shd w:val="clear" w:color="auto" w:fill="auto"/>
            <w:tcMar>
              <w:top w:type="dxa" w:w="80"/>
              <w:left w:type="dxa" w:w="80"/>
              <w:bottom w:type="dxa" w:w="80"/>
              <w:right w:type="dxa" w:w="80"/>
            </w:tcMar>
            <w:vAlign w:val="top"/>
          </w:tcPr>
          <w:p>
            <w:pPr>
              <w:pStyle w:val="Normal.0"/>
              <w:spacing w:before="60" w:after="0" w:line="240" w:lineRule="auto"/>
              <w:rPr>
                <w:b w:val="1"/>
                <w:bCs w:val="1"/>
              </w:rPr>
            </w:pPr>
            <w:r>
              <w:rPr>
                <w:b w:val="1"/>
                <w:bCs w:val="1"/>
                <w:rtl w:val="0"/>
                <w:lang w:val="de-DE"/>
              </w:rPr>
              <w:t>Qualit</w:t>
            </w:r>
            <w:r>
              <w:rPr>
                <w:b w:val="1"/>
                <w:bCs w:val="1"/>
                <w:rtl w:val="0"/>
              </w:rPr>
              <w:t>ä</w:t>
            </w:r>
            <w:r>
              <w:rPr>
                <w:b w:val="1"/>
                <w:bCs w:val="1"/>
                <w:rtl w:val="0"/>
                <w:lang w:val="de-DE"/>
              </w:rPr>
              <w:t>t und Zuverl</w:t>
            </w:r>
            <w:r>
              <w:rPr>
                <w:b w:val="1"/>
                <w:bCs w:val="1"/>
                <w:rtl w:val="0"/>
              </w:rPr>
              <w:t>ä</w:t>
            </w:r>
            <w:r>
              <w:rPr>
                <w:b w:val="1"/>
                <w:bCs w:val="1"/>
                <w:rtl w:val="0"/>
                <w:lang w:val="de-DE"/>
              </w:rPr>
              <w:t>ssigkeit</w:t>
            </w:r>
          </w:p>
          <w:p>
            <w:pPr>
              <w:pStyle w:val="Normal.0"/>
              <w:numPr>
                <w:ilvl w:val="0"/>
                <w:numId w:val="4"/>
              </w:numPr>
              <w:spacing w:before="60" w:after="0" w:line="240" w:lineRule="auto"/>
              <w:rPr>
                <w:lang w:val="de-DE"/>
              </w:rPr>
            </w:pPr>
            <w:r>
              <w:rPr>
                <w:rtl w:val="0"/>
                <w:lang w:val="de-DE"/>
              </w:rPr>
              <w:t>Prozess</w:t>
            </w:r>
            <w:r>
              <w:rPr>
                <w:rtl w:val="0"/>
              </w:rPr>
              <w:t>ü</w:t>
            </w:r>
            <w:r>
              <w:rPr>
                <w:rtl w:val="0"/>
                <w:lang w:val="de-DE"/>
              </w:rPr>
              <w:t>berwachung / Teststrategien</w:t>
            </w:r>
          </w:p>
          <w:p>
            <w:pPr>
              <w:pStyle w:val="Normal.0"/>
              <w:numPr>
                <w:ilvl w:val="0"/>
                <w:numId w:val="4"/>
              </w:numPr>
              <w:spacing w:before="60" w:after="0" w:line="240" w:lineRule="auto"/>
            </w:pPr>
            <w:r>
              <w:rPr>
                <w:rtl w:val="0"/>
              </w:rPr>
              <w:t>Pr</w:t>
            </w:r>
            <w:r>
              <w:rPr>
                <w:rtl w:val="0"/>
              </w:rPr>
              <w:t>ü</w:t>
            </w:r>
            <w:r>
              <w:rPr>
                <w:rtl w:val="0"/>
              </w:rPr>
              <w:t>fsysteme</w:t>
            </w:r>
          </w:p>
          <w:p>
            <w:pPr>
              <w:pStyle w:val="Normal.0"/>
              <w:numPr>
                <w:ilvl w:val="0"/>
                <w:numId w:val="4"/>
              </w:numPr>
              <w:spacing w:before="60" w:after="0" w:line="240" w:lineRule="auto"/>
              <w:rPr>
                <w:lang w:val="de-DE"/>
              </w:rPr>
            </w:pPr>
            <w:r>
              <w:rPr>
                <w:rtl w:val="0"/>
                <w:lang w:val="de-DE"/>
              </w:rPr>
              <w:t>Thermomechanische Zuverl</w:t>
            </w:r>
            <w:r>
              <w:rPr>
                <w:rtl w:val="0"/>
              </w:rPr>
              <w:t>ä</w:t>
            </w:r>
            <w:r>
              <w:rPr>
                <w:rtl w:val="0"/>
                <w:lang w:val="de-DE"/>
              </w:rPr>
              <w:t>ssigkeit</w:t>
            </w:r>
          </w:p>
          <w:p>
            <w:pPr>
              <w:pStyle w:val="Normal.0"/>
              <w:numPr>
                <w:ilvl w:val="0"/>
                <w:numId w:val="4"/>
              </w:numPr>
              <w:spacing w:before="60" w:after="0" w:line="240" w:lineRule="auto"/>
              <w:rPr>
                <w:lang w:val="de-DE"/>
              </w:rPr>
            </w:pPr>
            <w:r>
              <w:rPr>
                <w:rtl w:val="0"/>
                <w:lang w:val="de-DE"/>
              </w:rPr>
              <w:t>Zuverl</w:t>
            </w:r>
            <w:r>
              <w:rPr>
                <w:rtl w:val="0"/>
              </w:rPr>
              <w:t>ä</w:t>
            </w:r>
            <w:r>
              <w:rPr>
                <w:rtl w:val="0"/>
                <w:lang w:val="de-DE"/>
              </w:rPr>
              <w:t>ssigkeit bei kombinierten Beanspruchungen</w:t>
            </w:r>
          </w:p>
          <w:p>
            <w:pPr>
              <w:pStyle w:val="Normal.0"/>
              <w:numPr>
                <w:ilvl w:val="0"/>
                <w:numId w:val="4"/>
              </w:numPr>
              <w:spacing w:before="60" w:after="0" w:line="240" w:lineRule="auto"/>
              <w:rPr>
                <w:lang w:val="de-DE"/>
              </w:rPr>
            </w:pPr>
            <w:r>
              <w:rPr>
                <w:rtl w:val="0"/>
                <w:lang w:val="de-DE"/>
              </w:rPr>
              <w:t xml:space="preserve">Lebensdauermonitoring und </w:t>
            </w:r>
            <w:r>
              <w:rPr>
                <w:rtl w:val="0"/>
                <w:lang w:val="de-DE"/>
              </w:rPr>
              <w:t>-</w:t>
            </w:r>
            <w:r>
              <w:rPr>
                <w:rtl w:val="0"/>
                <w:lang w:val="de-DE"/>
              </w:rPr>
              <w:t xml:space="preserve">vorhersage </w:t>
            </w:r>
          </w:p>
        </w:tc>
      </w:tr>
    </w:tbl>
    <w:p>
      <w:pPr>
        <w:pStyle w:val="Normal.0"/>
        <w:spacing w:line="240" w:lineRule="auto"/>
      </w:pPr>
    </w:p>
    <w:p>
      <w:pPr>
        <w:pStyle w:val="Normal.0"/>
        <w:jc w:val="both"/>
      </w:pPr>
      <w:r>
        <w:rPr>
          <w:rtl w:val="0"/>
          <w:lang w:val="de-DE"/>
        </w:rPr>
        <w:t xml:space="preserve">Bitte senden Sie Ihren Abstract </w:t>
      </w:r>
      <w:r>
        <w:rPr>
          <w:rtl w:val="0"/>
          <w:lang w:val="de-DE"/>
        </w:rPr>
        <w:t xml:space="preserve">bis zum 16. Juni </w:t>
      </w:r>
      <w:r>
        <w:rPr>
          <w:rtl w:val="0"/>
          <w:lang w:val="de-DE"/>
        </w:rPr>
        <w:t>(ca. 200 W</w:t>
      </w:r>
      <w:r>
        <w:rPr>
          <w:rtl w:val="0"/>
          <w:lang w:val="de-DE"/>
        </w:rPr>
        <w:t>ö</w:t>
      </w:r>
      <w:r>
        <w:rPr>
          <w:rtl w:val="0"/>
          <w:lang w:val="de-DE"/>
        </w:rPr>
        <w:t>rter) zur Bewertung ein. Bitte beachten Sie, dass</w:t>
      </w:r>
      <w:r>
        <w:drawing xmlns:a="http://schemas.openxmlformats.org/drawingml/2006/main">
          <wp:anchor distT="152400" distB="152400" distL="152400" distR="152400" simplePos="0" relativeHeight="251663360" behindDoc="0" locked="0" layoutInCell="1" allowOverlap="1">
            <wp:simplePos x="0" y="0"/>
            <wp:positionH relativeFrom="margin">
              <wp:posOffset>5350343</wp:posOffset>
            </wp:positionH>
            <wp:positionV relativeFrom="line">
              <wp:posOffset>180356</wp:posOffset>
            </wp:positionV>
            <wp:extent cx="828207" cy="828207"/>
            <wp:effectExtent l="0" t="0" r="0" b="0"/>
            <wp:wrapNone/>
            <wp:docPr id="1073741827" name="officeArt object" descr="qr-code.png"/>
            <wp:cNvGraphicFramePr/>
            <a:graphic xmlns:a="http://schemas.openxmlformats.org/drawingml/2006/main">
              <a:graphicData uri="http://schemas.openxmlformats.org/drawingml/2006/picture">
                <pic:pic xmlns:pic="http://schemas.openxmlformats.org/drawingml/2006/picture">
                  <pic:nvPicPr>
                    <pic:cNvPr id="1073741827" name="qr-code.png" descr="qr-code.png"/>
                    <pic:cNvPicPr>
                      <a:picLocks noChangeAspect="1"/>
                    </pic:cNvPicPr>
                  </pic:nvPicPr>
                  <pic:blipFill>
                    <a:blip r:embed="rId6">
                      <a:extLst/>
                    </a:blip>
                    <a:stretch>
                      <a:fillRect/>
                    </a:stretch>
                  </pic:blipFill>
                  <pic:spPr>
                    <a:xfrm>
                      <a:off x="0" y="0"/>
                      <a:ext cx="828207" cy="828207"/>
                    </a:xfrm>
                    <a:prstGeom prst="rect">
                      <a:avLst/>
                    </a:prstGeom>
                    <a:ln w="12700" cap="flat">
                      <a:noFill/>
                      <a:miter lim="400000"/>
                    </a:ln>
                    <a:effectLst/>
                  </pic:spPr>
                </pic:pic>
              </a:graphicData>
            </a:graphic>
          </wp:anchor>
        </w:drawing>
      </w:r>
      <w:r>
        <w:rPr>
          <w:rtl w:val="0"/>
          <w:lang w:val="de-DE"/>
        </w:rPr>
        <w:t xml:space="preserve"> alle Abstracts </w:t>
      </w:r>
      <w:r>
        <w:rPr>
          <w:rtl w:val="0"/>
          <w:lang w:val="de-DE"/>
        </w:rPr>
        <w:t>ü</w:t>
      </w:r>
      <w:r>
        <w:rPr>
          <w:rtl w:val="0"/>
          <w:lang w:val="de-DE"/>
        </w:rPr>
        <w:t>ber den angegebenen Link in unserem Bewertungssystem registriert werden m</w:t>
      </w:r>
      <w:r>
        <w:rPr>
          <w:rtl w:val="0"/>
          <w:lang w:val="de-DE"/>
        </w:rPr>
        <w:t>ü</w:t>
      </w:r>
      <w:r>
        <w:rPr>
          <w:rtl w:val="0"/>
          <w:lang w:val="de-DE"/>
        </w:rPr>
        <w:t>ssen:</w:t>
      </w:r>
    </w:p>
    <w:p>
      <w:pPr>
        <w:pStyle w:val="Normal.0"/>
        <w:jc w:val="center"/>
      </w:pPr>
      <w:r>
        <w:rPr>
          <w:rStyle w:val="Hyperlink.0"/>
        </w:rPr>
        <w:fldChar w:fldCharType="begin" w:fldLock="0"/>
      </w:r>
      <w:r>
        <w:rPr>
          <w:rStyle w:val="Hyperlink.0"/>
        </w:rPr>
        <w:instrText xml:space="preserve"> HYPERLINK "https://www.conftool.net/imaps-herbstkonferenz-2025/index.php"</w:instrText>
      </w:r>
      <w:r>
        <w:rPr>
          <w:rStyle w:val="Hyperlink.0"/>
        </w:rPr>
        <w:fldChar w:fldCharType="separate" w:fldLock="0"/>
      </w:r>
      <w:r>
        <w:rPr>
          <w:rStyle w:val="Hyperlink.0"/>
          <w:rtl w:val="0"/>
          <w:lang w:val="de-DE"/>
        </w:rPr>
        <w:t>https://www.conftool.net/imaps-herbstkonferenz-2025/index.php</w:t>
      </w:r>
      <w:r>
        <w:rPr/>
        <w:fldChar w:fldCharType="end" w:fldLock="0"/>
      </w:r>
      <w:r>
        <w:rPr>
          <w:rtl w:val="0"/>
          <w:lang w:val="de-DE"/>
        </w:rPr>
        <w:t xml:space="preserve">      </w:t>
      </w:r>
    </w:p>
    <w:p>
      <w:pPr>
        <w:pStyle w:val="Normal.0"/>
        <w:keepNext w:val="1"/>
        <w:spacing w:before="240" w:after="120" w:line="240" w:lineRule="auto"/>
        <w:jc w:val="center"/>
        <w:outlineLvl w:val="1"/>
      </w:pPr>
      <w:r>
        <w:rPr>
          <w:rtl w:val="0"/>
          <w:lang w:val="de-DE"/>
        </w:rPr>
        <w:t>Es wird wieder ein</w:t>
      </w:r>
      <w:r>
        <w:rPr>
          <w:b w:val="1"/>
          <w:bCs w:val="1"/>
          <w:rtl w:val="0"/>
          <w:lang w:val="de-DE"/>
        </w:rPr>
        <w:t xml:space="preserve"> </w:t>
      </w:r>
      <w:r>
        <w:rPr>
          <w:rtl w:val="0"/>
          <w:lang w:val="de-DE"/>
        </w:rPr>
        <w:t xml:space="preserve">BEST </w:t>
      </w:r>
      <w:r>
        <w:rPr>
          <w:rtl w:val="0"/>
          <w:lang w:val="de-DE"/>
        </w:rPr>
        <w:t>PRESENTATION</w:t>
      </w:r>
      <w:r>
        <w:rPr>
          <w:rtl w:val="0"/>
          <w:lang w:val="de-DE"/>
        </w:rPr>
        <w:t xml:space="preserve"> AWARD</w:t>
      </w:r>
      <w:r>
        <w:rPr>
          <w:b w:val="1"/>
          <w:bCs w:val="1"/>
          <w:rtl w:val="0"/>
          <w:lang w:val="de-DE"/>
        </w:rPr>
        <w:t xml:space="preserve"> </w:t>
      </w:r>
      <w:r>
        <w:rPr>
          <w:rtl w:val="0"/>
          <w:lang w:val="de-DE"/>
        </w:rPr>
        <w:t>vergeben!</w:t>
      </w:r>
    </w:p>
    <w:p>
      <w:pPr>
        <w:pStyle w:val="Normal.0"/>
        <w:spacing w:after="0" w:line="240" w:lineRule="auto"/>
      </w:pPr>
    </w:p>
    <w:p>
      <w:pPr>
        <w:pStyle w:val="Normal.0"/>
        <w:spacing w:after="0" w:line="240" w:lineRule="auto"/>
        <w:jc w:val="both"/>
      </w:pPr>
      <w:r>
        <w:rPr>
          <w:rtl w:val="0"/>
          <w:lang w:val="de-DE"/>
        </w:rPr>
        <w:t>IMAPS Deutschland, Teil der "International Microelectronics and Packaging Society" (IMAPS), stellt seit 1973 in Deutschland das Forum f</w:t>
      </w:r>
      <w:r>
        <w:rPr>
          <w:rtl w:val="0"/>
          <w:lang w:val="de-DE"/>
        </w:rPr>
        <w:t>ü</w:t>
      </w:r>
      <w:r>
        <w:rPr>
          <w:rtl w:val="0"/>
          <w:lang w:val="de-DE"/>
        </w:rPr>
        <w:t>r alle dar, die sich mit Mikroelektronik und Aufbau- und Verbindungstechnik besch</w:t>
      </w:r>
      <w:r>
        <w:rPr>
          <w:rtl w:val="0"/>
          <w:lang w:val="de-DE"/>
        </w:rPr>
        <w:t>ä</w:t>
      </w:r>
      <w:r>
        <w:rPr>
          <w:rtl w:val="0"/>
          <w:lang w:val="de-DE"/>
        </w:rPr>
        <w:t>ftigen. Mit</w:t>
      </w:r>
      <w:r>
        <w:rPr>
          <w:rtl w:val="0"/>
          <w:lang w:val="de-DE"/>
        </w:rPr>
        <w:t xml:space="preserve"> knapp 250</w:t>
      </w:r>
      <w:r>
        <w:rPr>
          <w:rtl w:val="0"/>
          <w:lang w:val="de-DE"/>
        </w:rPr>
        <w:t xml:space="preserve"> Mitgliedern verfolgen wir drei Ziele: Wir verbinden Wissenschaft und Praxis, wir</w: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5429638</wp:posOffset>
                </wp:positionH>
                <wp:positionV relativeFrom="line">
                  <wp:posOffset>230046</wp:posOffset>
                </wp:positionV>
                <wp:extent cx="1084065" cy="293240"/>
                <wp:effectExtent l="0" t="0" r="0" b="0"/>
                <wp:wrapNone/>
                <wp:docPr id="1073741828" name="officeArt object" descr="www.imaps.de"/>
                <wp:cNvGraphicFramePr/>
                <a:graphic xmlns:a="http://schemas.openxmlformats.org/drawingml/2006/main">
                  <a:graphicData uri="http://schemas.microsoft.com/office/word/2010/wordprocessingShape">
                    <wps:wsp>
                      <wps:cNvSpPr txBox="1"/>
                      <wps:spPr>
                        <a:xfrm>
                          <a:off x="0" y="0"/>
                          <a:ext cx="1084065" cy="293240"/>
                        </a:xfrm>
                        <a:prstGeom prst="rect">
                          <a:avLst/>
                        </a:prstGeom>
                        <a:noFill/>
                        <a:ln w="12700" cap="flat">
                          <a:noFill/>
                          <a:miter lim="400000"/>
                        </a:ln>
                        <a:effectLst/>
                      </wps:spPr>
                      <wps:txbx>
                        <w:txbxContent>
                          <w:p>
                            <w:pPr>
                              <w:pStyle w:val="Text"/>
                              <w:bidi w:val="0"/>
                            </w:pPr>
                            <w:r>
                              <w:rPr>
                                <w:rStyle w:val="Hyperlink.0"/>
                              </w:rPr>
                              <w:fldChar w:fldCharType="begin" w:fldLock="0"/>
                            </w:r>
                            <w:r>
                              <w:rPr>
                                <w:rStyle w:val="Hyperlink.0"/>
                              </w:rPr>
                              <w:instrText xml:space="preserve"> HYPERLINK "http://www.imaps.de"</w:instrText>
                            </w:r>
                            <w:r>
                              <w:rPr>
                                <w:rStyle w:val="Hyperlink.0"/>
                              </w:rPr>
                              <w:fldChar w:fldCharType="separate" w:fldLock="0"/>
                            </w:r>
                            <w:r>
                              <w:rPr>
                                <w:rStyle w:val="Hyperlink.0"/>
                                <w:rtl w:val="0"/>
                                <w:lang w:val="de-DE"/>
                              </w:rPr>
                              <w:t>www.imaps.de</w:t>
                            </w:r>
                            <w:r>
                              <w:rPr/>
                              <w:fldChar w:fldCharType="end" w:fldLock="0"/>
                            </w:r>
                            <w:r>
                              <w:rPr>
                                <w:rtl w:val="0"/>
                                <w:lang w:val="de-DE"/>
                              </w:rPr>
                              <w:t xml:space="preserve">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27.5pt;margin-top:18.1pt;width:85.4pt;height:23.1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ext"/>
                        <w:bidi w:val="0"/>
                      </w:pPr>
                      <w:r>
                        <w:rPr>
                          <w:rStyle w:val="Hyperlink.0"/>
                        </w:rPr>
                        <w:fldChar w:fldCharType="begin" w:fldLock="0"/>
                      </w:r>
                      <w:r>
                        <w:rPr>
                          <w:rStyle w:val="Hyperlink.0"/>
                        </w:rPr>
                        <w:instrText xml:space="preserve"> HYPERLINK "http://www.imaps.de"</w:instrText>
                      </w:r>
                      <w:r>
                        <w:rPr>
                          <w:rStyle w:val="Hyperlink.0"/>
                        </w:rPr>
                        <w:fldChar w:fldCharType="separate" w:fldLock="0"/>
                      </w:r>
                      <w:r>
                        <w:rPr>
                          <w:rStyle w:val="Hyperlink.0"/>
                          <w:rtl w:val="0"/>
                          <w:lang w:val="de-DE"/>
                        </w:rPr>
                        <w:t>www.imaps.de</w:t>
                      </w:r>
                      <w:r>
                        <w:rPr/>
                        <w:fldChar w:fldCharType="end" w:fldLock="0"/>
                      </w:r>
                      <w:r>
                        <w:rPr>
                          <w:rtl w:val="0"/>
                          <w:lang w:val="de-DE"/>
                        </w:rPr>
                        <w:t xml:space="preserve"> </w:t>
                      </w:r>
                    </w:p>
                  </w:txbxContent>
                </v:textbox>
                <w10:wrap type="none" side="bothSides" anchorx="margin"/>
              </v:shape>
            </w:pict>
          </mc:Fallback>
        </mc:AlternateContent>
      </w:r>
      <w:r>
        <w:rPr>
          <w:rtl w:val="0"/>
          <w:lang w:val="de-DE"/>
        </w:rPr>
        <w:t xml:space="preserve"> sorgen f</w:t>
      </w:r>
      <w:r>
        <w:rPr>
          <w:rtl w:val="0"/>
          <w:lang w:val="de-DE"/>
        </w:rPr>
        <w:t>ü</w:t>
      </w:r>
      <w:r>
        <w:rPr>
          <w:rtl w:val="0"/>
          <w:lang w:val="de-DE"/>
        </w:rPr>
        <w:t>r den Informationsaustausch unter unseren Mitgliedern und wir vertreten den Standpunkt unserer Mitglieder in internationalen Gremien.</w:t>
      </w:r>
      <w:r>
        <w:drawing xmlns:a="http://schemas.openxmlformats.org/drawingml/2006/main">
          <wp:anchor distT="152400" distB="152400" distL="152400" distR="152400" simplePos="0" relativeHeight="251660288" behindDoc="0" locked="0" layoutInCell="1" allowOverlap="1">
            <wp:simplePos x="0" y="0"/>
            <wp:positionH relativeFrom="margin">
              <wp:posOffset>-816609</wp:posOffset>
            </wp:positionH>
            <wp:positionV relativeFrom="line">
              <wp:posOffset>314455</wp:posOffset>
            </wp:positionV>
            <wp:extent cx="7680960" cy="378330"/>
            <wp:effectExtent l="0" t="0" r="0" b="0"/>
            <wp:wrapNone/>
            <wp:docPr id="1073741829" name="officeArt object" descr="Unten ohne Kreis.jpg"/>
            <wp:cNvGraphicFramePr/>
            <a:graphic xmlns:a="http://schemas.openxmlformats.org/drawingml/2006/main">
              <a:graphicData uri="http://schemas.openxmlformats.org/drawingml/2006/picture">
                <pic:pic xmlns:pic="http://schemas.openxmlformats.org/drawingml/2006/picture">
                  <pic:nvPicPr>
                    <pic:cNvPr id="1073741829" name="Unten ohne Kreis.jpg" descr="Unten ohne Kreis.jpg"/>
                    <pic:cNvPicPr>
                      <a:picLocks noChangeAspect="1"/>
                    </pic:cNvPicPr>
                  </pic:nvPicPr>
                  <pic:blipFill>
                    <a:blip r:embed="rId7">
                      <a:extLst/>
                    </a:blip>
                    <a:stretch>
                      <a:fillRect/>
                    </a:stretch>
                  </pic:blipFill>
                  <pic:spPr>
                    <a:xfrm>
                      <a:off x="0" y="0"/>
                      <a:ext cx="7680960" cy="378330"/>
                    </a:xfrm>
                    <a:prstGeom prst="rect">
                      <a:avLst/>
                    </a:prstGeom>
                    <a:ln w="12700" cap="flat">
                      <a:noFill/>
                      <a:miter lim="400000"/>
                    </a:ln>
                    <a:effectLst/>
                  </pic:spPr>
                </pic:pic>
              </a:graphicData>
            </a:graphic>
          </wp:anchor>
        </w:drawing>
      </w:r>
    </w:p>
    <w:sectPr>
      <w:headerReference w:type="default" r:id="rId8"/>
      <w:footerReference w:type="default" r:id="rId9"/>
      <w:pgSz w:w="11900" w:h="16840" w:orient="portrait"/>
      <w:pgMar w:top="1080" w:right="1080" w:bottom="567"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75"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75" w:hanging="1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multiLevelType w:val="hybridMultilevel"/>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el">
    <w:name w:val="Titel"/>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paragraph" w:styleId="Überschrift 2">
    <w:name w:val="Überschrift 2"/>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de-D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