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8E5E24" w14:textId="741EA778" w:rsidR="008515F1" w:rsidRPr="005325D5" w:rsidRDefault="008515F1" w:rsidP="008515F1">
      <w:pPr>
        <w:pStyle w:val="berschrift2"/>
        <w:rPr>
          <w:b/>
          <w:bCs/>
          <w:sz w:val="32"/>
          <w:szCs w:val="32"/>
        </w:rPr>
      </w:pPr>
      <w:r w:rsidRPr="005325D5">
        <w:rPr>
          <w:b/>
          <w:bCs/>
          <w:sz w:val="32"/>
          <w:szCs w:val="32"/>
        </w:rPr>
        <w:t xml:space="preserve">THT-Lötstellen: Warum </w:t>
      </w:r>
      <w:proofErr w:type="spellStart"/>
      <w:r w:rsidRPr="005325D5">
        <w:rPr>
          <w:b/>
          <w:bCs/>
          <w:sz w:val="32"/>
          <w:szCs w:val="32"/>
        </w:rPr>
        <w:t>DfM</w:t>
      </w:r>
      <w:proofErr w:type="spellEnd"/>
      <w:r w:rsidRPr="005325D5">
        <w:rPr>
          <w:b/>
          <w:bCs/>
          <w:sz w:val="32"/>
          <w:szCs w:val="32"/>
        </w:rPr>
        <w:t>-Regeln allein nicht ausreichen</w:t>
      </w:r>
      <w:r w:rsidR="00D0032D" w:rsidRPr="005325D5">
        <w:rPr>
          <w:b/>
          <w:bCs/>
          <w:sz w:val="32"/>
          <w:szCs w:val="32"/>
        </w:rPr>
        <w:t xml:space="preserve"> - </w:t>
      </w:r>
    </w:p>
    <w:p w14:paraId="5E6F93E0" w14:textId="5A5AF847" w:rsidR="008515F1" w:rsidRPr="005325D5" w:rsidRDefault="008515F1" w:rsidP="008515F1">
      <w:pPr>
        <w:pStyle w:val="berschrift2"/>
        <w:rPr>
          <w:b/>
          <w:bCs/>
          <w:sz w:val="32"/>
          <w:szCs w:val="32"/>
        </w:rPr>
      </w:pPr>
      <w:r w:rsidRPr="005325D5">
        <w:rPr>
          <w:b/>
          <w:bCs/>
          <w:sz w:val="32"/>
          <w:szCs w:val="32"/>
        </w:rPr>
        <w:t>Versteckte Risiken und Kosten der Through Hole Technology</w:t>
      </w:r>
    </w:p>
    <w:p w14:paraId="7988E6BE" w14:textId="2CE67460" w:rsidR="008515F1" w:rsidRPr="00D0032D" w:rsidRDefault="008515F1" w:rsidP="008515F1">
      <w:pPr>
        <w:spacing w:before="100" w:beforeAutospacing="1" w:after="100" w:afterAutospacing="1"/>
        <w:jc w:val="left"/>
        <w:rPr>
          <w:rFonts w:ascii="Open Sans" w:hAnsi="Open Sans" w:cs="Open Sans"/>
          <w:kern w:val="0"/>
          <w:sz w:val="18"/>
          <w:szCs w:val="18"/>
        </w:rPr>
      </w:pPr>
      <w:r w:rsidRPr="00D0032D">
        <w:rPr>
          <w:rFonts w:ascii="Open Sans" w:hAnsi="Open Sans" w:cs="Open Sans"/>
          <w:kern w:val="0"/>
          <w:sz w:val="18"/>
          <w:szCs w:val="18"/>
        </w:rPr>
        <w:t>von Dr.-Ing. Reinhardt Seidel, DEEPTRONICS GmbH</w:t>
      </w:r>
    </w:p>
    <w:p w14:paraId="313C925D" w14:textId="2DB29DAE" w:rsidR="008515F1" w:rsidRPr="008515F1" w:rsidRDefault="00B84C43" w:rsidP="00B84C43">
      <w:pPr>
        <w:pStyle w:val="berschrift1"/>
        <w:numPr>
          <w:ilvl w:val="0"/>
          <w:numId w:val="0"/>
        </w:numPr>
      </w:pPr>
      <w:r>
        <w:t>Verst</w:t>
      </w:r>
      <w:r w:rsidR="00D71398">
        <w:t xml:space="preserve">eckte </w:t>
      </w:r>
      <w:proofErr w:type="gramStart"/>
      <w:r w:rsidR="00AD1499">
        <w:t xml:space="preserve">THT </w:t>
      </w:r>
      <w:r w:rsidR="00D71398">
        <w:t>Risiken</w:t>
      </w:r>
      <w:proofErr w:type="gramEnd"/>
    </w:p>
    <w:p w14:paraId="3A95E3BD" w14:textId="48041EFF" w:rsidR="008515F1" w:rsidRPr="008515F1" w:rsidRDefault="008515F1" w:rsidP="008515F1">
      <w:r w:rsidRPr="008515F1">
        <w:t xml:space="preserve">PCB-Designer kennen das Problem: Selbst bei strikter Einhaltung aller </w:t>
      </w:r>
      <w:proofErr w:type="spellStart"/>
      <w:r w:rsidRPr="008515F1">
        <w:t>DfM</w:t>
      </w:r>
      <w:proofErr w:type="spellEnd"/>
      <w:r w:rsidRPr="008515F1">
        <w:t>-Regeln entstehen in der Serienproduktion unerwartete THT-Lötprobleme. Besonders bei High-Power-Elektronik mit mehreren Kupferlagen und dicken Leiterplatten (&gt;1,6 mm) zeigen sich die Grenzen herkömmlicher Design-</w:t>
      </w:r>
      <w:proofErr w:type="spellStart"/>
      <w:r w:rsidRPr="008515F1">
        <w:t>for</w:t>
      </w:r>
      <w:proofErr w:type="spellEnd"/>
      <w:r w:rsidRPr="008515F1">
        <w:t>-Manufacturing-Ansätze.</w:t>
      </w:r>
    </w:p>
    <w:p w14:paraId="39956165" w14:textId="5530F22F" w:rsidR="00974BF8" w:rsidRDefault="008515F1" w:rsidP="008515F1">
      <w:r w:rsidRPr="008515F1">
        <w:t>Die Realität: Der größte Teil der THT-Risiken wird durch Standard-</w:t>
      </w:r>
      <w:proofErr w:type="spellStart"/>
      <w:r w:rsidRPr="008515F1">
        <w:t>DfM</w:t>
      </w:r>
      <w:proofErr w:type="spellEnd"/>
      <w:r w:rsidRPr="008515F1">
        <w:t xml:space="preserve">-Checks nicht erfasst. </w:t>
      </w:r>
      <w:r w:rsidR="00B048DD">
        <w:t xml:space="preserve">Diese Lücke klafft besonders bei anspruchsvollen High-Power Baugruppen auf, </w:t>
      </w:r>
      <w:r w:rsidR="00974BF8">
        <w:t xml:space="preserve">weil hier die Effekte des </w:t>
      </w:r>
      <w:r w:rsidR="002E3486">
        <w:t>PCB-Designs</w:t>
      </w:r>
      <w:r w:rsidR="00974BF8">
        <w:t xml:space="preserve"> besonders </w:t>
      </w:r>
      <w:r w:rsidR="00DB3339">
        <w:t>stark zum Tragen kommen.</w:t>
      </w:r>
    </w:p>
    <w:p w14:paraId="1B3F3309" w14:textId="75EDA9BB" w:rsidR="008515F1" w:rsidRPr="008515F1" w:rsidRDefault="008515F1" w:rsidP="008515F1">
      <w:r w:rsidRPr="008515F1">
        <w:t>Das führt zu kostspieligen Prototyp-Schleifen, Nacharbeit und Terminverzögerungen.</w:t>
      </w:r>
    </w:p>
    <w:p w14:paraId="227C7397" w14:textId="76D91B32" w:rsidR="008515F1" w:rsidRPr="008515F1" w:rsidRDefault="008515F1" w:rsidP="008515F1"/>
    <w:p w14:paraId="1B6B3602" w14:textId="6E246C34" w:rsidR="008515F1" w:rsidRPr="008515F1" w:rsidRDefault="008515F1" w:rsidP="008515F1">
      <w:pPr>
        <w:rPr>
          <w:b/>
          <w:bCs/>
        </w:rPr>
      </w:pPr>
      <w:r w:rsidRPr="008515F1">
        <w:rPr>
          <w:b/>
          <w:bCs/>
        </w:rPr>
        <w:t>Die Physik hinter dem Problem</w:t>
      </w:r>
    </w:p>
    <w:p w14:paraId="577104B0" w14:textId="77777777" w:rsidR="008515F1" w:rsidRPr="008515F1" w:rsidRDefault="008515F1" w:rsidP="008515F1">
      <w:r w:rsidRPr="008515F1">
        <w:t>THT-Lötstellen sind komplexe multiphysikalische Systeme. Ihre Qualität hängt von zahlreichen Faktoren ab, die sich gegenseitig beeinflussen:</w:t>
      </w:r>
    </w:p>
    <w:p w14:paraId="5F933153" w14:textId="79DF8C41" w:rsidR="008515F1" w:rsidRPr="008515F1" w:rsidRDefault="008515F1" w:rsidP="008515F1">
      <w:pPr>
        <w:pStyle w:val="Listenabsatz"/>
        <w:numPr>
          <w:ilvl w:val="0"/>
          <w:numId w:val="7"/>
        </w:numPr>
      </w:pPr>
      <w:r w:rsidRPr="008515F1">
        <w:t>Thermische Masse</w:t>
      </w:r>
      <w:r>
        <w:t xml:space="preserve">: </w:t>
      </w:r>
      <w:r w:rsidRPr="008515F1">
        <w:t>Kupferlagen, Leiterplattendicke und Bauteilgröße</w:t>
      </w:r>
    </w:p>
    <w:p w14:paraId="2CD82348" w14:textId="6787672E" w:rsidR="008515F1" w:rsidRPr="008515F1" w:rsidRDefault="008515F1" w:rsidP="008515F1">
      <w:pPr>
        <w:pStyle w:val="Listenabsatz"/>
        <w:numPr>
          <w:ilvl w:val="0"/>
          <w:numId w:val="7"/>
        </w:numPr>
      </w:pPr>
      <w:r w:rsidRPr="008515F1">
        <w:t>Prozessparameter</w:t>
      </w:r>
      <w:r>
        <w:t xml:space="preserve">: </w:t>
      </w:r>
      <w:r w:rsidRPr="008515F1">
        <w:t xml:space="preserve"> </w:t>
      </w:r>
      <w:proofErr w:type="spellStart"/>
      <w:r w:rsidRPr="008515F1">
        <w:t>Lötzeit</w:t>
      </w:r>
      <w:proofErr w:type="spellEnd"/>
      <w:r w:rsidRPr="008515F1">
        <w:t>, Temperaturprofile, Flussmittel und Legierung</w:t>
      </w:r>
    </w:p>
    <w:p w14:paraId="7ACE4ABC" w14:textId="1BCA8CE5" w:rsidR="008515F1" w:rsidRPr="008515F1" w:rsidRDefault="008515F1" w:rsidP="008515F1">
      <w:pPr>
        <w:pStyle w:val="Listenabsatz"/>
        <w:numPr>
          <w:ilvl w:val="0"/>
          <w:numId w:val="7"/>
        </w:numPr>
      </w:pPr>
      <w:r w:rsidRPr="008515F1">
        <w:t>Geometrische Einflüsse</w:t>
      </w:r>
      <w:r>
        <w:t xml:space="preserve">: </w:t>
      </w:r>
      <w:r w:rsidRPr="008515F1">
        <w:t xml:space="preserve"> Pin-zu-Loch-Verhältnis, </w:t>
      </w:r>
      <w:proofErr w:type="spellStart"/>
      <w:r w:rsidRPr="008515F1">
        <w:t>Kuferanbindung</w:t>
      </w:r>
      <w:proofErr w:type="spellEnd"/>
      <w:r w:rsidRPr="008515F1">
        <w:t xml:space="preserve"> und -verteilung</w:t>
      </w:r>
    </w:p>
    <w:p w14:paraId="5715F65F" w14:textId="769C8F33" w:rsidR="008515F1" w:rsidRPr="008515F1" w:rsidRDefault="008515F1" w:rsidP="008515F1">
      <w:pPr>
        <w:pStyle w:val="Listenabsatz"/>
        <w:numPr>
          <w:ilvl w:val="0"/>
          <w:numId w:val="7"/>
        </w:numPr>
      </w:pPr>
      <w:r w:rsidRPr="008515F1">
        <w:t>Maschinenspezifika</w:t>
      </w:r>
      <w:r>
        <w:t xml:space="preserve">: </w:t>
      </w:r>
      <w:r w:rsidRPr="008515F1">
        <w:t xml:space="preserve"> Prozessart, Düsenkonfiguration, Wellenhöhe, Vorheizung</w:t>
      </w:r>
    </w:p>
    <w:p w14:paraId="1BCC1E74" w14:textId="19CEB44E" w:rsidR="008515F1" w:rsidRPr="008515F1" w:rsidRDefault="008515F1" w:rsidP="008515F1">
      <w:r w:rsidRPr="008515F1">
        <w:t xml:space="preserve">Herkömmliche </w:t>
      </w:r>
      <w:proofErr w:type="spellStart"/>
      <w:r w:rsidRPr="008515F1">
        <w:t>DfM</w:t>
      </w:r>
      <w:proofErr w:type="spellEnd"/>
      <w:r w:rsidRPr="008515F1">
        <w:t xml:space="preserve">-Regeln betrachten diese Faktoren </w:t>
      </w:r>
      <w:r w:rsidR="00AD1499">
        <w:t>unzulänglich</w:t>
      </w:r>
      <w:r w:rsidRPr="008515F1">
        <w:t>, sondern definieren schlichte Regeln, die meist nur Mindestabstände oder einen Lochdurchmesser definieren. Doch erst das Zusammenspiel aus Baugruppendesign und Lötprozess bestimmt die tatsächliche Lötbarkeit.</w:t>
      </w:r>
    </w:p>
    <w:p w14:paraId="56291C16" w14:textId="46A5EB2A" w:rsidR="008515F1" w:rsidRPr="008515F1" w:rsidRDefault="008515F1" w:rsidP="008515F1"/>
    <w:p w14:paraId="38C78DA3" w14:textId="08068B5A" w:rsidR="008515F1" w:rsidRPr="008515F1" w:rsidRDefault="00D71398" w:rsidP="008515F1">
      <w:pPr>
        <w:rPr>
          <w:b/>
          <w:bCs/>
        </w:rPr>
      </w:pPr>
      <w:r>
        <w:rPr>
          <w:b/>
          <w:bCs/>
        </w:rPr>
        <w:t>Risken identifizieren durch p</w:t>
      </w:r>
      <w:r w:rsidR="008515F1" w:rsidRPr="008515F1">
        <w:rPr>
          <w:b/>
          <w:bCs/>
        </w:rPr>
        <w:t>rozessbasierte Berechnung statt Schätzung</w:t>
      </w:r>
    </w:p>
    <w:p w14:paraId="18863D4F" w14:textId="77777777" w:rsidR="008515F1" w:rsidRPr="008515F1" w:rsidRDefault="008515F1" w:rsidP="008515F1">
      <w:r w:rsidRPr="008515F1">
        <w:t>Was wäre, wenn Sie bereits im Design-Stadium wüssten, welche Lötstellen problematisch werden? Wenn Sie quantifizieren könnten, wie sich Design-Änderungen auf die Fertigbarkeit auswirken?</w:t>
      </w:r>
    </w:p>
    <w:p w14:paraId="651478EE" w14:textId="46BA404B" w:rsidR="008515F1" w:rsidRPr="008515F1" w:rsidRDefault="008515F1" w:rsidP="008515F1">
      <w:r w:rsidRPr="008515F1">
        <w:t>Ein digitaler Zwilling des THT-Lötprozesses macht genau das möglich. Er simuliert die Prozessphysik und bewertet jede Lötstelle individuel</w:t>
      </w:r>
      <w:r w:rsidR="001D2628">
        <w:t>l:</w:t>
      </w:r>
    </w:p>
    <w:p w14:paraId="5D7024FD" w14:textId="622B3FC3" w:rsidR="008515F1" w:rsidRPr="008515F1" w:rsidRDefault="008515F1" w:rsidP="008515F1">
      <w:pPr>
        <w:pStyle w:val="Listenabsatz"/>
        <w:numPr>
          <w:ilvl w:val="0"/>
          <w:numId w:val="8"/>
        </w:numPr>
      </w:pPr>
      <w:r w:rsidRPr="008515F1">
        <w:t>Grüne Lötstellen</w:t>
      </w:r>
      <w:r>
        <w:t>:</w:t>
      </w:r>
      <w:r>
        <w:tab/>
      </w:r>
      <w:r w:rsidRPr="008515F1">
        <w:t>&lt; 5 s robuste Prozessfenster</w:t>
      </w:r>
    </w:p>
    <w:p w14:paraId="3247F8A5" w14:textId="04E1EC53" w:rsidR="008515F1" w:rsidRPr="008515F1" w:rsidRDefault="008515F1" w:rsidP="008515F1">
      <w:pPr>
        <w:pStyle w:val="Listenabsatz"/>
        <w:numPr>
          <w:ilvl w:val="0"/>
          <w:numId w:val="8"/>
        </w:numPr>
      </w:pPr>
      <w:r w:rsidRPr="008515F1">
        <w:t>Gelbe Lötstellen</w:t>
      </w:r>
      <w:r>
        <w:t xml:space="preserve">: </w:t>
      </w:r>
      <w:r>
        <w:tab/>
      </w:r>
      <w:r w:rsidRPr="008515F1">
        <w:t>5-7 s iterative Prozessentwicklung nötig  </w:t>
      </w:r>
    </w:p>
    <w:p w14:paraId="0E1A99A7" w14:textId="3CE2FE23" w:rsidR="008515F1" w:rsidRPr="008515F1" w:rsidRDefault="008515F1" w:rsidP="008515F1">
      <w:pPr>
        <w:pStyle w:val="Listenabsatz"/>
        <w:numPr>
          <w:ilvl w:val="0"/>
          <w:numId w:val="8"/>
        </w:numPr>
      </w:pPr>
      <w:r w:rsidRPr="008515F1">
        <w:t>Rote Lötstellen</w:t>
      </w:r>
      <w:r>
        <w:t xml:space="preserve">: </w:t>
      </w:r>
      <w:r>
        <w:tab/>
      </w:r>
      <w:r w:rsidRPr="008515F1">
        <w:t>&gt; 7 s hohes Risiko für unzureichende Durchlötung</w:t>
      </w:r>
    </w:p>
    <w:p w14:paraId="6D3FFB5D" w14:textId="29F1108B" w:rsidR="008515F1" w:rsidRPr="008515F1" w:rsidRDefault="0081230B" w:rsidP="008515F1">
      <w:r>
        <w:rPr>
          <w:noProof/>
        </w:rPr>
        <w:lastRenderedPageBreak/>
        <w:drawing>
          <wp:inline distT="0" distB="0" distL="0" distR="0" wp14:anchorId="17C4F68C" wp14:editId="28CE4C7E">
            <wp:extent cx="5434860" cy="3514125"/>
            <wp:effectExtent l="0" t="0" r="0" b="0"/>
            <wp:docPr id="1210581902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0581902" name="Grafik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860" cy="351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2C6DD5" w14:textId="58E87FDB" w:rsidR="008515F1" w:rsidRPr="008515F1" w:rsidRDefault="008515F1" w:rsidP="008515F1">
      <w:pPr>
        <w:rPr>
          <w:b/>
          <w:bCs/>
        </w:rPr>
      </w:pPr>
      <w:r w:rsidRPr="008515F1">
        <w:rPr>
          <w:b/>
          <w:bCs/>
        </w:rPr>
        <w:t>Risikominimierung im Design-Stadium</w:t>
      </w:r>
      <w:r w:rsidR="00F16930">
        <w:rPr>
          <w:b/>
          <w:bCs/>
        </w:rPr>
        <w:t xml:space="preserve"> für hohe Qualitätsanforderungen</w:t>
      </w:r>
    </w:p>
    <w:p w14:paraId="562A4E7C" w14:textId="5F861C73" w:rsidR="003E49C3" w:rsidRDefault="003E49C3" w:rsidP="00B27981">
      <w:r>
        <w:t>Durch den</w:t>
      </w:r>
      <w:r w:rsidRPr="008515F1">
        <w:t xml:space="preserve"> physikbasierten Ansatz</w:t>
      </w:r>
      <w:r w:rsidR="00B27981" w:rsidRPr="008515F1">
        <w:t xml:space="preserve"> </w:t>
      </w:r>
      <w:r w:rsidR="00B27981">
        <w:t xml:space="preserve">des </w:t>
      </w:r>
      <w:proofErr w:type="spellStart"/>
      <w:r w:rsidR="00B27981">
        <w:t>Solder</w:t>
      </w:r>
      <w:proofErr w:type="spellEnd"/>
      <w:r w:rsidR="00B27981">
        <w:t xml:space="preserve"> Copilot wird </w:t>
      </w:r>
      <w:r w:rsidR="000E3B8C">
        <w:t xml:space="preserve">die subjektive Beurteilung </w:t>
      </w:r>
      <w:r>
        <w:t xml:space="preserve">durch manuelles Überprüfen </w:t>
      </w:r>
      <w:r w:rsidR="00B27981" w:rsidRPr="008515F1">
        <w:t>durch quantifizierte Risikobewertung</w:t>
      </w:r>
      <w:r>
        <w:t xml:space="preserve"> ergänzt</w:t>
      </w:r>
      <w:r w:rsidR="00B27981" w:rsidRPr="008515F1">
        <w:t xml:space="preserve">. </w:t>
      </w:r>
      <w:r w:rsidR="00B14B38">
        <w:t>K</w:t>
      </w:r>
      <w:r w:rsidR="00B14B38" w:rsidRPr="008515F1">
        <w:t>ritische THT-Lötstellen bereits vor dem Layout-Freeze</w:t>
      </w:r>
      <w:r w:rsidR="00B14B38">
        <w:t xml:space="preserve"> und der Prototypenbestellung identifiziert und Fehler behoben werden, bevor sie teuer werden.</w:t>
      </w:r>
    </w:p>
    <w:p w14:paraId="46E25E96" w14:textId="21214457" w:rsidR="00B27981" w:rsidRPr="008515F1" w:rsidRDefault="00B27981" w:rsidP="00B27981">
      <w:r w:rsidRPr="008515F1">
        <w:t>Das Ergebnis: Weniger Prototyp-Schleifen, schnellere Markteinführung und höhere Fertigungsqualität.</w:t>
      </w:r>
    </w:p>
    <w:p w14:paraId="03AEDAFC" w14:textId="46BBC76D" w:rsidR="00A46724" w:rsidRDefault="000E106F" w:rsidP="008515F1">
      <w:r>
        <w:t xml:space="preserve">Indizien für versteckte Risiken </w:t>
      </w:r>
      <w:r w:rsidR="00B27981">
        <w:t>können bereits an einfachen Faustregeln identifiziert werden</w:t>
      </w:r>
      <w:r w:rsidR="00223993">
        <w:t>:</w:t>
      </w:r>
    </w:p>
    <w:p w14:paraId="43BA00DE" w14:textId="5A77E2A1" w:rsidR="008515F1" w:rsidRPr="008515F1" w:rsidRDefault="008515F1" w:rsidP="00A24762">
      <w:pPr>
        <w:pStyle w:val="Listenabsatz"/>
        <w:numPr>
          <w:ilvl w:val="0"/>
          <w:numId w:val="9"/>
        </w:numPr>
      </w:pPr>
      <w:r w:rsidRPr="008515F1">
        <w:t>Dicke Leiterplatten (&gt;1,6 mm) mit vielen Kupferlagen (&gt;4 Layer)</w:t>
      </w:r>
    </w:p>
    <w:p w14:paraId="26DAEC01" w14:textId="00D77788" w:rsidR="00A24762" w:rsidRDefault="00A24762" w:rsidP="00A24762">
      <w:pPr>
        <w:pStyle w:val="Listenabsatz"/>
        <w:numPr>
          <w:ilvl w:val="0"/>
          <w:numId w:val="9"/>
        </w:numPr>
      </w:pPr>
      <w:r>
        <w:t>Dicken Kupferlagen &gt; 35µm</w:t>
      </w:r>
    </w:p>
    <w:p w14:paraId="51C03018" w14:textId="274C6368" w:rsidR="008515F1" w:rsidRPr="008515F1" w:rsidRDefault="008515F1" w:rsidP="00A24762">
      <w:pPr>
        <w:pStyle w:val="Listenabsatz"/>
        <w:numPr>
          <w:ilvl w:val="0"/>
          <w:numId w:val="9"/>
        </w:numPr>
      </w:pPr>
      <w:r w:rsidRPr="008515F1">
        <w:t>High-Power-Komponenten (Elkos, Shunts, Transformatoren)</w:t>
      </w:r>
    </w:p>
    <w:p w14:paraId="4714FA53" w14:textId="16D8CB13" w:rsidR="008515F1" w:rsidRPr="008515F1" w:rsidRDefault="0064312F" w:rsidP="00A24762">
      <w:pPr>
        <w:pStyle w:val="Listenabsatz"/>
        <w:numPr>
          <w:ilvl w:val="0"/>
          <w:numId w:val="9"/>
        </w:numPr>
      </w:pPr>
      <w:r>
        <w:t xml:space="preserve">Einsatz von Lötmasken für Wellen- und Selektivwellenlötungen </w:t>
      </w:r>
      <w:r w:rsidR="00900CDF">
        <w:t>bei dichter Bestückung</w:t>
      </w:r>
    </w:p>
    <w:p w14:paraId="57B6CDEA" w14:textId="77777777" w:rsidR="00F16930" w:rsidRDefault="00F16930" w:rsidP="008515F1">
      <w:pPr>
        <w:rPr>
          <w:b/>
          <w:bCs/>
        </w:rPr>
      </w:pPr>
    </w:p>
    <w:p w14:paraId="0646ECF5" w14:textId="77777777" w:rsidR="00384825" w:rsidRDefault="00384825" w:rsidP="008515F1">
      <w:pPr>
        <w:rPr>
          <w:b/>
          <w:bCs/>
        </w:rPr>
      </w:pPr>
    </w:p>
    <w:p w14:paraId="7C05FF10" w14:textId="75636F22" w:rsidR="008515F1" w:rsidRPr="008515F1" w:rsidRDefault="00237827" w:rsidP="008515F1">
      <w:r>
        <w:rPr>
          <w:noProof/>
        </w:rPr>
        <w:drawing>
          <wp:inline distT="0" distB="0" distL="0" distR="0" wp14:anchorId="22192A0D" wp14:editId="570B9A35">
            <wp:extent cx="1967024" cy="490318"/>
            <wp:effectExtent l="0" t="0" r="0" b="5080"/>
            <wp:docPr id="436018808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50" t="22700" r="25996" b="619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765" cy="494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EB2370" w14:textId="03EDA492" w:rsidR="008515F1" w:rsidRPr="008515F1" w:rsidRDefault="008515F1" w:rsidP="008515F1">
      <w:r w:rsidRPr="008515F1">
        <w:t xml:space="preserve">Über den Autor: Dr.-Ing. Reinhardt Seidel </w:t>
      </w:r>
      <w:r w:rsidR="00B119D7">
        <w:t>hat die</w:t>
      </w:r>
      <w:r w:rsidRPr="008515F1">
        <w:t xml:space="preserve"> DEEPTRONICS GmbH </w:t>
      </w:r>
      <w:r w:rsidR="00B119D7">
        <w:t>aus der Forschungsarbeit am Lehrstuhl FAPS der FAU Erlangen-Nürnberg ausgegründet. Er ist</w:t>
      </w:r>
      <w:r w:rsidRPr="008515F1">
        <w:t xml:space="preserve"> Experte für </w:t>
      </w:r>
      <w:r>
        <w:t>THT</w:t>
      </w:r>
      <w:r w:rsidR="00CB2636">
        <w:t>-Layout, THT-</w:t>
      </w:r>
      <w:r>
        <w:t xml:space="preserve">Lötprozesse und </w:t>
      </w:r>
      <w:r w:rsidRPr="008515F1">
        <w:t xml:space="preserve">digitale Zwillinge in der Elektronikfertigung. </w:t>
      </w:r>
    </w:p>
    <w:p w14:paraId="32BB3E8B" w14:textId="77777777" w:rsidR="008515F1" w:rsidRPr="008515F1" w:rsidRDefault="008515F1" w:rsidP="008515F1"/>
    <w:p w14:paraId="545B344C" w14:textId="77777777" w:rsidR="008515F1" w:rsidRPr="008515F1" w:rsidRDefault="008515F1" w:rsidP="008515F1">
      <w:r w:rsidRPr="008515F1">
        <w:rPr>
          <w:i/>
          <w:iCs/>
        </w:rPr>
        <w:t>*Kontakt: reinhardt.seidel@deeptronics.io | www.deeptronics.io*</w:t>
      </w:r>
    </w:p>
    <w:p w14:paraId="49748874" w14:textId="6EE4988D" w:rsidR="00574E1C" w:rsidRPr="00A24762" w:rsidRDefault="00574E1C" w:rsidP="00A24762"/>
    <w:sectPr w:rsidR="00574E1C" w:rsidRPr="00A24762" w:rsidSect="00506242">
      <w:headerReference w:type="default" r:id="rId10"/>
      <w:footerReference w:type="default" r:id="rId11"/>
      <w:pgSz w:w="11907" w:h="16840" w:code="9"/>
      <w:pgMar w:top="1135" w:right="1418" w:bottom="1701" w:left="1418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BAF9BA" w14:textId="77777777" w:rsidR="004D1118" w:rsidRDefault="004D1118">
      <w:pPr>
        <w:spacing w:before="0" w:after="0"/>
      </w:pPr>
      <w:r>
        <w:separator/>
      </w:r>
    </w:p>
  </w:endnote>
  <w:endnote w:type="continuationSeparator" w:id="0">
    <w:p w14:paraId="4A2327AC" w14:textId="77777777" w:rsidR="004D1118" w:rsidRDefault="004D1118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717172569"/>
      <w:docPartObj>
        <w:docPartGallery w:val="Page Numbers (Bottom of Page)"/>
        <w:docPartUnique/>
      </w:docPartObj>
    </w:sdtPr>
    <w:sdtEndPr/>
    <w:sdtContent>
      <w:p w14:paraId="0E186059" w14:textId="77777777" w:rsidR="005C253B" w:rsidRDefault="007F3D72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8350109" w14:textId="77777777" w:rsidR="005C253B" w:rsidRDefault="005C253B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6292DB" w14:textId="77777777" w:rsidR="004D1118" w:rsidRDefault="004D1118">
      <w:pPr>
        <w:spacing w:before="0" w:after="0"/>
      </w:pPr>
      <w:r>
        <w:separator/>
      </w:r>
    </w:p>
  </w:footnote>
  <w:footnote w:type="continuationSeparator" w:id="0">
    <w:p w14:paraId="4F1F56F5" w14:textId="77777777" w:rsidR="004D1118" w:rsidRDefault="004D1118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05877C" w14:textId="77777777" w:rsidR="005C253B" w:rsidRPr="00083694" w:rsidRDefault="005C253B" w:rsidP="00083694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C53836"/>
    <w:multiLevelType w:val="hybridMultilevel"/>
    <w:tmpl w:val="109A3DD8"/>
    <w:lvl w:ilvl="0" w:tplc="0B643E06">
      <w:start w:val="1"/>
      <w:numFmt w:val="decimal"/>
      <w:pStyle w:val="berschrift1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FB167D"/>
    <w:multiLevelType w:val="hybridMultilevel"/>
    <w:tmpl w:val="9008E5E6"/>
    <w:lvl w:ilvl="0" w:tplc="0382DA2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843DC5"/>
    <w:multiLevelType w:val="multilevel"/>
    <w:tmpl w:val="D19846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561E20"/>
    <w:multiLevelType w:val="hybridMultilevel"/>
    <w:tmpl w:val="E7288C08"/>
    <w:lvl w:ilvl="0" w:tplc="8384ED10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A65895"/>
    <w:multiLevelType w:val="hybridMultilevel"/>
    <w:tmpl w:val="379A80E6"/>
    <w:lvl w:ilvl="0" w:tplc="0382DA2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3C459C"/>
    <w:multiLevelType w:val="multilevel"/>
    <w:tmpl w:val="7102E9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2261441"/>
    <w:multiLevelType w:val="hybridMultilevel"/>
    <w:tmpl w:val="77CEA19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5D272B1"/>
    <w:multiLevelType w:val="hybridMultilevel"/>
    <w:tmpl w:val="62E446C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18769237">
    <w:abstractNumId w:val="3"/>
  </w:num>
  <w:num w:numId="2" w16cid:durableId="2069066761">
    <w:abstractNumId w:val="0"/>
  </w:num>
  <w:num w:numId="3" w16cid:durableId="1259365315">
    <w:abstractNumId w:val="0"/>
  </w:num>
  <w:num w:numId="4" w16cid:durableId="911622544">
    <w:abstractNumId w:val="5"/>
  </w:num>
  <w:num w:numId="5" w16cid:durableId="390660996">
    <w:abstractNumId w:val="2"/>
  </w:num>
  <w:num w:numId="6" w16cid:durableId="272637405">
    <w:abstractNumId w:val="6"/>
  </w:num>
  <w:num w:numId="7" w16cid:durableId="2007438963">
    <w:abstractNumId w:val="1"/>
  </w:num>
  <w:num w:numId="8" w16cid:durableId="1181046109">
    <w:abstractNumId w:val="4"/>
  </w:num>
  <w:num w:numId="9" w16cid:durableId="49827932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565C"/>
    <w:rsid w:val="000954F3"/>
    <w:rsid w:val="000E106F"/>
    <w:rsid w:val="000E3B8C"/>
    <w:rsid w:val="00106E68"/>
    <w:rsid w:val="0015565C"/>
    <w:rsid w:val="001D2628"/>
    <w:rsid w:val="001F397C"/>
    <w:rsid w:val="00223993"/>
    <w:rsid w:val="00237827"/>
    <w:rsid w:val="002467D3"/>
    <w:rsid w:val="002E3486"/>
    <w:rsid w:val="002F136D"/>
    <w:rsid w:val="002F7B58"/>
    <w:rsid w:val="003325EA"/>
    <w:rsid w:val="00384825"/>
    <w:rsid w:val="003E34EB"/>
    <w:rsid w:val="003E49C3"/>
    <w:rsid w:val="00434A7B"/>
    <w:rsid w:val="004C6E3D"/>
    <w:rsid w:val="004D1118"/>
    <w:rsid w:val="00502D2F"/>
    <w:rsid w:val="005325D5"/>
    <w:rsid w:val="00561961"/>
    <w:rsid w:val="00564B46"/>
    <w:rsid w:val="00574E1C"/>
    <w:rsid w:val="005C253B"/>
    <w:rsid w:val="0064312F"/>
    <w:rsid w:val="00657046"/>
    <w:rsid w:val="00684A89"/>
    <w:rsid w:val="00754D75"/>
    <w:rsid w:val="00762B8E"/>
    <w:rsid w:val="007F3D72"/>
    <w:rsid w:val="0081230B"/>
    <w:rsid w:val="008515F1"/>
    <w:rsid w:val="00857DC5"/>
    <w:rsid w:val="008E787F"/>
    <w:rsid w:val="008F01DA"/>
    <w:rsid w:val="00900CDF"/>
    <w:rsid w:val="00974BF8"/>
    <w:rsid w:val="009B0CB9"/>
    <w:rsid w:val="00A24762"/>
    <w:rsid w:val="00A46724"/>
    <w:rsid w:val="00AD1499"/>
    <w:rsid w:val="00B048DD"/>
    <w:rsid w:val="00B119D7"/>
    <w:rsid w:val="00B14B38"/>
    <w:rsid w:val="00B27981"/>
    <w:rsid w:val="00B84C43"/>
    <w:rsid w:val="00B91052"/>
    <w:rsid w:val="00CB2636"/>
    <w:rsid w:val="00D0032D"/>
    <w:rsid w:val="00D64FEC"/>
    <w:rsid w:val="00D71398"/>
    <w:rsid w:val="00DB066F"/>
    <w:rsid w:val="00DB3339"/>
    <w:rsid w:val="00F16930"/>
    <w:rsid w:val="00F20AF7"/>
    <w:rsid w:val="00F8295B"/>
    <w:rsid w:val="00F9246C"/>
    <w:rsid w:val="00F930CD"/>
    <w:rsid w:val="00FA7DA5"/>
    <w:rsid w:val="00FC4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B32D82"/>
  <w15:chartTrackingRefBased/>
  <w15:docId w15:val="{4029928E-E249-43D3-AF6D-91537506A1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1F397C"/>
    <w:pPr>
      <w:spacing w:before="60" w:after="60" w:line="240" w:lineRule="auto"/>
      <w:jc w:val="both"/>
    </w:pPr>
    <w:rPr>
      <w:rFonts w:ascii="Arial" w:eastAsia="Times New Roman" w:hAnsi="Arial" w:cs="Times New Roman"/>
      <w:kern w:val="28"/>
      <w:sz w:val="24"/>
      <w:szCs w:val="20"/>
      <w:lang w:eastAsia="de-DE"/>
    </w:rPr>
  </w:style>
  <w:style w:type="paragraph" w:styleId="berschrift1">
    <w:name w:val="heading 1"/>
    <w:basedOn w:val="Standard"/>
    <w:next w:val="Standard"/>
    <w:link w:val="berschrift1Zchn"/>
    <w:autoRedefine/>
    <w:uiPriority w:val="9"/>
    <w:qFormat/>
    <w:rsid w:val="001F397C"/>
    <w:pPr>
      <w:keepNext/>
      <w:numPr>
        <w:numId w:val="2"/>
      </w:numPr>
      <w:suppressAutoHyphens/>
      <w:spacing w:before="120" w:after="120"/>
      <w:outlineLvl w:val="0"/>
    </w:pPr>
    <w:rPr>
      <w:b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8515F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1F397C"/>
    <w:rPr>
      <w:rFonts w:ascii="Arial" w:eastAsia="Times New Roman" w:hAnsi="Arial" w:cs="Times New Roman"/>
      <w:b/>
      <w:kern w:val="28"/>
      <w:sz w:val="24"/>
      <w:szCs w:val="20"/>
      <w:lang w:eastAsia="de-DE"/>
    </w:rPr>
  </w:style>
  <w:style w:type="paragraph" w:styleId="Kopfzeile">
    <w:name w:val="header"/>
    <w:basedOn w:val="Standard"/>
    <w:link w:val="KopfzeileZchn"/>
    <w:rsid w:val="001F397C"/>
    <w:pPr>
      <w:tabs>
        <w:tab w:val="center" w:pos="4536"/>
        <w:tab w:val="right" w:pos="9072"/>
      </w:tabs>
      <w:spacing w:before="0"/>
    </w:pPr>
    <w:rPr>
      <w:sz w:val="20"/>
    </w:rPr>
  </w:style>
  <w:style w:type="character" w:customStyle="1" w:styleId="KopfzeileZchn">
    <w:name w:val="Kopfzeile Zchn"/>
    <w:basedOn w:val="Absatz-Standardschriftart"/>
    <w:link w:val="Kopfzeile"/>
    <w:rsid w:val="001F397C"/>
    <w:rPr>
      <w:rFonts w:ascii="Arial" w:eastAsia="Times New Roman" w:hAnsi="Arial" w:cs="Times New Roman"/>
      <w:kern w:val="28"/>
      <w:sz w:val="20"/>
      <w:szCs w:val="20"/>
      <w:lang w:eastAsia="de-DE"/>
    </w:rPr>
  </w:style>
  <w:style w:type="paragraph" w:styleId="Fuzeile">
    <w:name w:val="footer"/>
    <w:basedOn w:val="Standard"/>
    <w:link w:val="FuzeileZchn"/>
    <w:uiPriority w:val="99"/>
    <w:rsid w:val="001F397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1F397C"/>
    <w:rPr>
      <w:rFonts w:ascii="Arial" w:eastAsia="Times New Roman" w:hAnsi="Arial" w:cs="Times New Roman"/>
      <w:kern w:val="28"/>
      <w:sz w:val="24"/>
      <w:szCs w:val="20"/>
      <w:lang w:eastAsia="de-DE"/>
    </w:rPr>
  </w:style>
  <w:style w:type="paragraph" w:styleId="Listenabsatz">
    <w:name w:val="List Paragraph"/>
    <w:basedOn w:val="Standard"/>
    <w:uiPriority w:val="34"/>
    <w:qFormat/>
    <w:rsid w:val="001F397C"/>
    <w:pPr>
      <w:ind w:left="720"/>
      <w:contextualSpacing/>
    </w:pPr>
  </w:style>
  <w:style w:type="paragraph" w:styleId="StandardWeb">
    <w:name w:val="Normal (Web)"/>
    <w:basedOn w:val="Standard"/>
    <w:uiPriority w:val="99"/>
    <w:semiHidden/>
    <w:unhideWhenUsed/>
    <w:rsid w:val="004C6E3D"/>
    <w:pPr>
      <w:spacing w:before="100" w:beforeAutospacing="1" w:after="100" w:afterAutospacing="1"/>
      <w:jc w:val="left"/>
    </w:pPr>
    <w:rPr>
      <w:rFonts w:ascii="Times New Roman" w:hAnsi="Times New Roman"/>
      <w:kern w:val="0"/>
      <w:szCs w:val="24"/>
    </w:rPr>
  </w:style>
  <w:style w:type="character" w:styleId="Fett">
    <w:name w:val="Strong"/>
    <w:basedOn w:val="Absatz-Standardschriftart"/>
    <w:uiPriority w:val="22"/>
    <w:qFormat/>
    <w:rsid w:val="004C6E3D"/>
    <w:rPr>
      <w:b/>
      <w:bCs/>
    </w:rPr>
  </w:style>
  <w:style w:type="character" w:styleId="Hyperlink">
    <w:name w:val="Hyperlink"/>
    <w:basedOn w:val="Absatz-Standardschriftart"/>
    <w:uiPriority w:val="99"/>
    <w:unhideWhenUsed/>
    <w:rsid w:val="00561961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561961"/>
    <w:rPr>
      <w:color w:val="605E5C"/>
      <w:shd w:val="clear" w:color="auto" w:fill="E1DFDD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8515F1"/>
    <w:rPr>
      <w:rFonts w:asciiTheme="majorHAnsi" w:eastAsiaTheme="majorEastAsia" w:hAnsiTheme="majorHAnsi" w:cstheme="majorBidi"/>
      <w:color w:val="2F5496" w:themeColor="accent1" w:themeShade="BF"/>
      <w:kern w:val="28"/>
      <w:sz w:val="26"/>
      <w:szCs w:val="26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3841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446</Words>
  <Characters>2814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Reinhardt  Seidel</dc:creator>
  <cp:keywords/>
  <dc:description/>
  <cp:lastModifiedBy>Reinhardt Seidel</cp:lastModifiedBy>
  <cp:revision>33</cp:revision>
  <dcterms:created xsi:type="dcterms:W3CDTF">2025-08-12T20:27:00Z</dcterms:created>
  <dcterms:modified xsi:type="dcterms:W3CDTF">2025-08-13T07:13:00Z</dcterms:modified>
</cp:coreProperties>
</file>